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rPr>
          <w:rFonts w:cs="Arial"/>
          <w:b/>
          <w:bCs/>
          <w:i/>
          <w:i/>
          <w:iCs/>
          <w:color w:val="FF0000"/>
          <w:szCs w:val="18"/>
        </w:rPr>
      </w:pPr>
      <w:r>
        <w:rPr>
          <w:rFonts w:cs="Arial"/>
          <w:color w:val="5B5B5F"/>
          <w:sz w:val="36"/>
          <w:szCs w:val="36"/>
        </w:rPr>
        <w:t xml:space="preserve"> </w:t>
      </w: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CONTRATAÇÃO</w:t>
      </w:r>
    </w:p>
    <w:p>
      <w:pPr>
        <w:pStyle w:val="Normal"/>
        <w:rPr>
          <w:rFonts w:cs="Arial"/>
          <w:color w:val="405CA1"/>
          <w:sz w:val="56"/>
          <w:szCs w:val="56"/>
        </w:rPr>
      </w:pPr>
      <w:r>
        <w:rPr>
          <w:rFonts w:cs="Arial"/>
          <w:color w:val="405CA1"/>
          <w:sz w:val="56"/>
          <w:szCs w:val="56"/>
        </w:rPr>
        <w:t>DIRETA</w:t>
      </w:r>
    </w:p>
    <w:p>
      <w:pPr>
        <w:pStyle w:val="Normal"/>
        <w:rPr>
          <w:rFonts w:cs="Arial"/>
          <w:b/>
          <w:bCs/>
          <w:color w:val="5B5B5F"/>
          <w:sz w:val="28"/>
          <w:szCs w:val="28"/>
        </w:rPr>
      </w:pPr>
      <w:r>
        <w:rPr>
          <w:rFonts w:cs="Arial"/>
          <w:bCs/>
          <w:color w:val="5B5B5F"/>
          <w:sz w:val="28"/>
          <w:szCs w:val="28"/>
        </w:rPr>
        <w:t>90005/2025</w:t>
      </w:r>
    </w:p>
    <w:p>
      <w:pPr>
        <w:pStyle w:val="Normal"/>
        <w:spacing w:lineRule="auto" w:line="259"/>
        <w:rPr>
          <w:rFonts w:cs="Arial"/>
          <w:b/>
          <w:bCs/>
          <w:color w:val="405CA1"/>
          <w:sz w:val="32"/>
          <w:szCs w:val="32"/>
        </w:rPr>
      </w:pPr>
      <w:r>
        <w:rPr>
          <w:rFonts w:cs="Arial"/>
          <w:b/>
          <w:bCs/>
          <w:color w:val="405CA1"/>
          <w:sz w:val="32"/>
          <w:szCs w:val="32"/>
        </w:rPr>
      </w:r>
    </w:p>
    <w:p>
      <w:pPr>
        <w:pStyle w:val="Normal"/>
        <w:spacing w:lineRule="auto" w:line="259"/>
        <w:rPr>
          <w:rFonts w:cs="Arial"/>
          <w:b/>
          <w:bCs/>
          <w:color w:val="405CA1"/>
          <w:sz w:val="32"/>
          <w:szCs w:val="32"/>
        </w:rPr>
      </w:pPr>
      <w:r>
        <w:rPr>
          <w:rFonts w:cs="Arial"/>
          <w:b/>
          <w:bCs/>
          <w:color w:val="405CA1"/>
          <w:sz w:val="32"/>
          <w:szCs w:val="32"/>
        </w:rPr>
        <w:t>CONTRATANTE (UASG)</w:t>
      </w:r>
    </w:p>
    <w:p>
      <w:pPr>
        <w:pStyle w:val="Normal"/>
        <w:rPr>
          <w:rFonts w:cs="Arial"/>
          <w:bCs/>
          <w:color w:val="5B5B5F"/>
          <w:sz w:val="28"/>
          <w:szCs w:val="28"/>
        </w:rPr>
      </w:pPr>
      <w:r>
        <w:rPr>
          <w:rFonts w:cs="Arial"/>
          <w:bCs/>
          <w:color w:val="5B5B5F"/>
          <w:sz w:val="28"/>
          <w:szCs w:val="28"/>
        </w:rPr>
        <w:t>160103</w:t>
      </w:r>
    </w:p>
    <w:p>
      <w:pPr>
        <w:pStyle w:val="Normal"/>
        <w:rPr>
          <w:rFonts w:cs="Arial"/>
          <w:b/>
          <w:bCs/>
          <w:color w:val="405CA1"/>
          <w:sz w:val="32"/>
          <w:szCs w:val="32"/>
        </w:rPr>
      </w:pPr>
      <w:r>
        <w:rPr>
          <w:rFonts w:cs="Arial"/>
          <w:b/>
          <w:bCs/>
          <w:color w:val="405CA1"/>
          <w:sz w:val="32"/>
          <w:szCs w:val="32"/>
        </w:rPr>
      </w:r>
    </w:p>
    <w:p>
      <w:pPr>
        <w:pStyle w:val="Normal"/>
        <w:rPr>
          <w:rFonts w:cs="Arial"/>
          <w:b/>
          <w:bCs/>
          <w:color w:val="5B5B5F"/>
          <w:szCs w:val="20"/>
        </w:rPr>
      </w:pPr>
      <w:r>
        <w:rPr>
          <w:rFonts w:cs="Arial"/>
          <w:b/>
          <w:bCs/>
          <w:color w:val="405CA1"/>
          <w:sz w:val="32"/>
          <w:szCs w:val="32"/>
        </w:rPr>
        <w:t>OBJETO</w:t>
      </w:r>
    </w:p>
    <w:p>
      <w:pPr>
        <w:pStyle w:val="Nivel2"/>
        <w:numPr>
          <w:ilvl w:val="1"/>
          <w:numId w:val="2"/>
        </w:numPr>
        <w:ind w:hanging="0" w:left="0"/>
        <w:rPr>
          <w:rFonts w:ascii="Times New Roman" w:hAnsi="Times New Roman"/>
          <w:sz w:val="24"/>
          <w:szCs w:val="24"/>
        </w:rPr>
      </w:pPr>
      <w:r>
        <w:rPr>
          <w:rFonts w:cs="Arial" w:ascii="Times New Roman" w:hAnsi="Times New Roman"/>
          <w:b/>
          <w:bCs/>
          <w:color w:val="000000"/>
          <w:sz w:val="24"/>
          <w:szCs w:val="24"/>
          <w:shd w:fill="00FFFF" w:val="clear"/>
        </w:rPr>
        <w:t>AQUISIÇÃO DE ÁGUA MINERAL</w:t>
      </w:r>
    </w:p>
    <w:p>
      <w:pPr>
        <w:pStyle w:val="Normal"/>
        <w:rPr>
          <w:rFonts w:cs="Arial"/>
          <w:color w:val="5B5B5F"/>
          <w:sz w:val="28"/>
          <w:szCs w:val="28"/>
        </w:rPr>
      </w:pPr>
      <w:r>
        <w:rPr>
          <w:rFonts w:cs="Arial"/>
          <w:color w:val="5B5B5F"/>
          <w:sz w:val="28"/>
          <w:szCs w:val="28"/>
        </w:rPr>
      </w:r>
    </w:p>
    <w:p>
      <w:pPr>
        <w:pStyle w:val="Normal"/>
        <w:rPr>
          <w:rFonts w:cs="Arial"/>
          <w:b/>
          <w:bCs/>
          <w:color w:val="405CA1"/>
          <w:sz w:val="32"/>
          <w:szCs w:val="32"/>
        </w:rPr>
      </w:pPr>
      <w:r>
        <w:rPr>
          <w:rFonts w:cs="Arial"/>
          <w:b/>
          <w:bCs/>
          <w:color w:val="405CA1"/>
          <w:sz w:val="32"/>
          <w:szCs w:val="32"/>
        </w:rPr>
        <w:t>VALOR TOTAL DA CONTRATAÇÃO</w:t>
      </w:r>
    </w:p>
    <w:p>
      <w:pPr>
        <w:pStyle w:val="Normal"/>
        <w:rPr>
          <w:rFonts w:cs="Arial"/>
          <w:b/>
          <w:bCs/>
          <w:color w:val="405CA1"/>
          <w:sz w:val="32"/>
          <w:szCs w:val="32"/>
        </w:rPr>
      </w:pPr>
      <w:r>
        <w:rPr>
          <w:rFonts w:cs="Arial"/>
          <w:b/>
          <w:bCs/>
          <w:color w:val="405CA1"/>
          <w:sz w:val="32"/>
          <w:szCs w:val="32"/>
        </w:rPr>
      </w:r>
    </w:p>
    <w:p>
      <w:pPr>
        <w:pStyle w:val="Normal"/>
        <w:rPr>
          <w:rFonts w:ascii="Times New Roman" w:hAnsi="Times New Roman"/>
          <w:b/>
          <w:bCs/>
          <w:sz w:val="24"/>
          <w:szCs w:val="24"/>
        </w:rPr>
      </w:pPr>
      <w:r>
        <w:rPr>
          <w:rFonts w:cs="Arial" w:ascii="Times New Roman" w:hAnsi="Times New Roman"/>
          <w:b/>
          <w:bCs/>
          <w:color w:val="5B5B5F"/>
          <w:sz w:val="24"/>
          <w:szCs w:val="24"/>
        </w:rPr>
        <w:t xml:space="preserve"> </w:t>
      </w:r>
      <w:r>
        <w:rPr>
          <w:rFonts w:cs="Arial" w:ascii="Times New Roman" w:hAnsi="Times New Roman"/>
          <w:b/>
          <w:bCs/>
          <w:color w:val="5B5B5F"/>
          <w:sz w:val="24"/>
          <w:szCs w:val="24"/>
          <w:lang w:val="pt-BR" w:eastAsia="pt-PT" w:bidi="pt-PT"/>
        </w:rPr>
        <w:t>R$</w:t>
      </w:r>
    </w:p>
    <w:p>
      <w:pPr>
        <w:pStyle w:val="Normal"/>
        <w:rPr>
          <w:rFonts w:cs="Arial"/>
          <w:color w:val="5B5B5F"/>
          <w:sz w:val="32"/>
          <w:szCs w:val="32"/>
        </w:rPr>
      </w:pPr>
      <w:r>
        <w:rPr>
          <w:rFonts w:cs="Arial"/>
          <w:color w:val="5B5B5F"/>
          <w:sz w:val="32"/>
          <w:szCs w:val="32"/>
        </w:rPr>
      </w:r>
    </w:p>
    <w:p>
      <w:pPr>
        <w:pStyle w:val="Normal"/>
        <w:rPr>
          <w:rFonts w:cs="Arial"/>
          <w:b/>
          <w:bCs/>
          <w:color w:val="405CA1"/>
          <w:sz w:val="32"/>
          <w:szCs w:val="32"/>
        </w:rPr>
      </w:pPr>
      <w:r>
        <w:rPr>
          <w:rFonts w:cs="Arial"/>
          <w:b/>
          <w:bCs/>
          <w:color w:val="405CA1"/>
          <w:sz w:val="32"/>
          <w:szCs w:val="32"/>
        </w:rPr>
        <w:t xml:space="preserve">DATA DA SESSÃO </w:t>
      </w:r>
    </w:p>
    <w:p>
      <w:pPr>
        <w:pStyle w:val="Normal"/>
        <w:rPr>
          <w:rFonts w:cs="Arial"/>
          <w:color w:val="5B5B5F"/>
          <w:sz w:val="28"/>
          <w:szCs w:val="28"/>
        </w:rPr>
      </w:pPr>
      <w:r>
        <w:rPr>
          <w:rFonts w:cs="Arial"/>
          <w:color w:val="5B5B5F"/>
          <w:sz w:val="28"/>
          <w:szCs w:val="28"/>
        </w:rPr>
        <w:t>De</w:t>
      </w:r>
      <w:r>
        <w:rPr>
          <w:rFonts w:cs="Arial"/>
          <w:b/>
          <w:bCs/>
          <w:color w:val="5B5B5F"/>
          <w:sz w:val="28"/>
          <w:szCs w:val="28"/>
        </w:rPr>
        <w:t xml:space="preserve"> 10/04/2025</w:t>
      </w:r>
    </w:p>
    <w:p>
      <w:pPr>
        <w:pStyle w:val="Normal"/>
        <w:rPr>
          <w:rFonts w:cs="Arial"/>
          <w:color w:val="5B5B5F"/>
          <w:sz w:val="32"/>
          <w:szCs w:val="32"/>
        </w:rPr>
      </w:pPr>
      <w:r>
        <w:rPr>
          <w:rFonts w:cs="Arial"/>
          <w:color w:val="5B5B5F"/>
          <w:sz w:val="32"/>
          <w:szCs w:val="32"/>
        </w:rPr>
      </w:r>
    </w:p>
    <w:p>
      <w:pPr>
        <w:pStyle w:val="Normal"/>
        <w:rPr>
          <w:rFonts w:cs="Arial"/>
          <w:b/>
          <w:bCs/>
          <w:color w:val="405CA1"/>
          <w:sz w:val="32"/>
          <w:szCs w:val="32"/>
        </w:rPr>
      </w:pPr>
      <w:r>
        <w:rPr>
          <w:rFonts w:cs="Arial"/>
          <w:b/>
          <w:bCs/>
          <w:color w:val="405CA1"/>
          <w:sz w:val="32"/>
          <w:szCs w:val="32"/>
        </w:rPr>
        <w:t>HORÁRIO DA FASE DE LANCES</w:t>
      </w:r>
    </w:p>
    <w:p>
      <w:pPr>
        <w:pStyle w:val="Normal"/>
        <w:rPr>
          <w:rFonts w:cs="Arial"/>
          <w:color w:val="5B5B5F"/>
          <w:sz w:val="28"/>
          <w:szCs w:val="28"/>
        </w:rPr>
      </w:pPr>
      <w:r>
        <w:rPr>
          <w:rFonts w:cs="Arial"/>
          <w:color w:val="5B5B5F"/>
          <w:sz w:val="28"/>
          <w:szCs w:val="28"/>
        </w:rPr>
        <w:t>Das 08:00 até 14:00 h</w:t>
      </w:r>
    </w:p>
    <w:p>
      <w:pPr>
        <w:pStyle w:val="Normal"/>
        <w:rPr>
          <w:rFonts w:cs="Arial"/>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Cs/>
          <w:color w:val="405CA1"/>
          <w:sz w:val="32"/>
          <w:szCs w:val="32"/>
        </w:rPr>
      </w:pPr>
      <w:r>
        <w:rPr>
          <w:rFonts w:cs="Arial"/>
          <w:b/>
          <w:bCs/>
          <w:color w:val="405CA1"/>
          <w:sz w:val="32"/>
          <w:szCs w:val="32"/>
        </w:rPr>
        <w:t>CRITÉRIO DE JULGAMENTO:</w:t>
      </w:r>
    </w:p>
    <w:p>
      <w:pPr>
        <w:pStyle w:val="Normal"/>
        <w:suppressAutoHyphens w:val="false"/>
        <w:spacing w:lineRule="auto" w:line="259" w:before="0" w:after="160"/>
        <w:rPr>
          <w:rFonts w:cs="Arial"/>
          <w:b/>
          <w:bCs/>
          <w:color w:val="405CA1"/>
          <w:sz w:val="32"/>
          <w:szCs w:val="32"/>
        </w:rPr>
      </w:pPr>
      <w:r>
        <w:rPr>
          <w:rFonts w:cs="Arial"/>
          <w:b/>
          <w:bCs/>
          <w:color w:val="405CA1"/>
          <w:sz w:val="32"/>
          <w:szCs w:val="32"/>
        </w:rPr>
        <w:t>Menor preço por item</w:t>
      </w:r>
    </w:p>
    <w:p>
      <w:pPr>
        <w:pStyle w:val="Normal"/>
        <w:suppressAutoHyphens w:val="false"/>
        <w:spacing w:lineRule="auto" w:line="259" w:before="0" w:after="160"/>
        <w:rPr>
          <w:rFonts w:cs="Arial"/>
          <w:b/>
          <w:bCs/>
          <w:color w:val="405CA1"/>
          <w:sz w:val="32"/>
          <w:szCs w:val="32"/>
        </w:rPr>
      </w:pPr>
      <w:r>
        <w:rPr>
          <w:rFonts w:cs="Arial"/>
          <w:b/>
          <w:bCs/>
          <w:color w:val="405CA1"/>
          <w:sz w:val="32"/>
          <w:szCs w:val="32"/>
        </w:rPr>
        <w:t>PREFERÊNCIA ME/EPP/EQUIPARADAS</w:t>
        <w:br/>
      </w:r>
      <w:r>
        <w:rPr>
          <w:rFonts w:cs="Arial"/>
          <w:b/>
          <w:bCs/>
          <w:color w:val="5B5B5F"/>
          <w:sz w:val="28"/>
          <w:szCs w:val="28"/>
        </w:rPr>
        <w:t>SIM</w:t>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sdt>
      <w:sdtPr>
        <w:docPartObj>
          <w:docPartGallery w:val="Table of Contents"/>
          <w:docPartUnique w:val="true"/>
        </w:docPartObj>
      </w:sdtPr>
      <w:sdtContent>
        <w:p>
          <w:pPr>
            <w:pStyle w:val="TOCHeading"/>
            <w:ind w:hanging="0" w:left="0"/>
            <w:rPr>
              <w:color w:val="auto"/>
            </w:rPr>
          </w:pPr>
          <w:r>
            <w:rPr/>
            <w:t>Sumário</w:t>
          </w:r>
        </w:p>
        <w:p>
          <w:pPr>
            <w:pStyle w:val="TOC1"/>
            <w:rPr>
              <w:rFonts w:ascii="Calibri" w:hAnsi="Calibri"/>
              <w:sz w:val="22"/>
              <w:szCs w:val="22"/>
            </w:rPr>
          </w:pPr>
          <w:r>
            <w:fldChar w:fldCharType="begin"/>
          </w:r>
          <w:r>
            <w:rPr>
              <w:rStyle w:val="Vnculodendice"/>
              <w:rFonts w:eastAsia="Arial Unicode MS"/>
              <w:lang w:bidi="hi-IN"/>
            </w:rPr>
            <w:instrText xml:space="preserve"> TOC \o "1-3" \h</w:instrText>
          </w:r>
          <w:r>
            <w:rPr>
              <w:rStyle w:val="Vnculodendice"/>
              <w:rFonts w:eastAsia="Arial Unicode MS"/>
              <w:lang w:bidi="hi-IN"/>
            </w:rPr>
            <w:fldChar w:fldCharType="separate"/>
          </w:r>
          <w:hyperlink w:anchor="_Toc142925860">
            <w:r>
              <w:rPr>
                <w:rStyle w:val="Vnculodendice"/>
                <w:rFonts w:eastAsia="Arial Unicode MS"/>
                <w:lang w:bidi="hi-IN"/>
              </w:rPr>
              <w:t>1.</w:t>
            </w:r>
            <w:r>
              <w:rPr>
                <w:rStyle w:val="Vnculodendice"/>
                <w:rFonts w:ascii="Calibri" w:hAnsi="Calibri"/>
                <w:sz w:val="22"/>
                <w:szCs w:val="22"/>
              </w:rPr>
              <w:tab/>
            </w:r>
            <w:r>
              <w:rPr>
                <w:rStyle w:val="Vnculodendice"/>
                <w:rFonts w:eastAsia="Arial Unicode MS"/>
                <w:lang w:bidi="hi-IN"/>
              </w:rPr>
              <w:t>OBJETO DA CONTRATAÇÃO DIRETA</w:t>
            </w:r>
            <w:r>
              <w:rPr>
                <w:rStyle w:val="Vnculodendice"/>
              </w:rPr>
              <w:tab/>
              <w:t>4</w:t>
            </w:r>
          </w:hyperlink>
          <w:hyperlink w:anchor="_Toc142925861">
            <w:r>
              <w:rPr>
                <w:webHidden/>
              </w:rPr>
              <w:fldChar w:fldCharType="begin"/>
            </w:r>
            <w:r>
              <w:rPr>
                <w:webHidden/>
              </w:rPr>
              <w:instrText xml:space="preserve">PAGEREF _Toc142925861 \h</w:instrText>
            </w:r>
            <w:r>
              <w:rPr>
                <w:webHidden/>
              </w:rPr>
              <w:fldChar w:fldCharType="separate"/>
            </w:r>
            <w:r>
              <w:rPr>
                <w:rStyle w:val="Vnculodendice"/>
              </w:rPr>
              <w:tab/>
            </w:r>
            <w:r>
              <w:rPr>
                <w:webHidden/>
              </w:rPr>
              <w:fldChar w:fldCharType="end"/>
            </w:r>
          </w:hyperlink>
        </w:p>
        <w:p>
          <w:pPr>
            <w:pStyle w:val="TOC1"/>
            <w:rPr>
              <w:rFonts w:ascii="Calibri" w:hAnsi="Calibri"/>
              <w:sz w:val="22"/>
              <w:szCs w:val="22"/>
            </w:rPr>
          </w:pPr>
          <w:hyperlink w:anchor="_Toc142925862">
            <w:r>
              <w:rPr>
                <w:rStyle w:val="Vnculodendice"/>
                <w:rFonts w:eastAsia="Arial Unicode MS"/>
                <w:lang w:bidi="hi-IN"/>
              </w:rPr>
              <w:t>3.</w:t>
            </w:r>
            <w:r>
              <w:rPr>
                <w:rStyle w:val="Vnculodendice"/>
                <w:rFonts w:ascii="Calibri" w:hAnsi="Calibri"/>
                <w:sz w:val="22"/>
                <w:szCs w:val="22"/>
              </w:rPr>
              <w:tab/>
            </w:r>
            <w:r>
              <w:rPr>
                <w:rStyle w:val="Vnculodendice"/>
                <w:rFonts w:eastAsia="Arial Unicode MS"/>
                <w:lang w:bidi="hi-IN"/>
              </w:rPr>
              <w:t>PARTICIPAÇÃO NA DISPENSA ELETRÔNICA.</w:t>
            </w:r>
            <w:r>
              <w:rPr>
                <w:webHidden/>
              </w:rPr>
              <w:fldChar w:fldCharType="begin"/>
            </w:r>
            <w:r>
              <w:rPr>
                <w:webHidden/>
              </w:rPr>
              <w:instrText xml:space="preserve">PAGEREF _Toc142925862 \h</w:instrText>
            </w:r>
            <w:r>
              <w:rPr>
                <w:webHidden/>
              </w:rPr>
              <w:fldChar w:fldCharType="separate"/>
            </w:r>
            <w:r>
              <w:rPr>
                <w:rStyle w:val="Vnculodendice"/>
              </w:rPr>
              <w:tab/>
              <w:t>5</w:t>
            </w:r>
            <w:r>
              <w:rPr>
                <w:webHidden/>
              </w:rPr>
              <w:fldChar w:fldCharType="end"/>
            </w:r>
          </w:hyperlink>
        </w:p>
        <w:p>
          <w:pPr>
            <w:pStyle w:val="TOC1"/>
            <w:rPr>
              <w:rFonts w:ascii="Calibri" w:hAnsi="Calibri"/>
              <w:sz w:val="22"/>
              <w:szCs w:val="22"/>
            </w:rPr>
          </w:pPr>
          <w:hyperlink w:anchor="_Toc142925863">
            <w:r>
              <w:rPr>
                <w:rStyle w:val="Vnculodendice"/>
                <w:rFonts w:eastAsia="Arial Unicode MS"/>
                <w:lang w:bidi="hi-IN"/>
              </w:rPr>
              <w:t>4.</w:t>
            </w:r>
            <w:r>
              <w:rPr>
                <w:rStyle w:val="Vnculodendice"/>
                <w:rFonts w:ascii="Calibri" w:hAnsi="Calibri"/>
                <w:sz w:val="22"/>
                <w:szCs w:val="22"/>
              </w:rPr>
              <w:tab/>
            </w:r>
            <w:r>
              <w:rPr>
                <w:rStyle w:val="Vnculodendice"/>
                <w:rFonts w:eastAsia="Arial Unicode MS"/>
                <w:lang w:bidi="hi-IN"/>
              </w:rPr>
              <w:t>INGRESSO NA DISPENSA ELETRÔNICA E CADASTRAMENTO DA PROPOSTA INICIAL</w:t>
            </w:r>
            <w:r>
              <w:rPr>
                <w:webHidden/>
              </w:rPr>
              <w:fldChar w:fldCharType="begin"/>
            </w:r>
            <w:r>
              <w:rPr>
                <w:webHidden/>
              </w:rPr>
              <w:instrText xml:space="preserve">PAGEREF _Toc142925863 \h</w:instrText>
            </w:r>
            <w:r>
              <w:rPr>
                <w:webHidden/>
              </w:rPr>
              <w:fldChar w:fldCharType="separate"/>
            </w:r>
            <w:r>
              <w:rPr>
                <w:rStyle w:val="Vnculodendice"/>
              </w:rPr>
              <w:tab/>
              <w:t>6</w:t>
            </w:r>
            <w:r>
              <w:rPr>
                <w:webHidden/>
              </w:rPr>
              <w:fldChar w:fldCharType="end"/>
            </w:r>
          </w:hyperlink>
        </w:p>
        <w:p>
          <w:pPr>
            <w:pStyle w:val="TOC1"/>
            <w:rPr>
              <w:rFonts w:ascii="Calibri" w:hAnsi="Calibri"/>
              <w:sz w:val="22"/>
              <w:szCs w:val="22"/>
            </w:rPr>
          </w:pPr>
          <w:hyperlink w:anchor="_Toc142925864">
            <w:r>
              <w:rPr>
                <w:rStyle w:val="Vnculodendice"/>
                <w:rFonts w:eastAsia="Arial Unicode MS"/>
                <w:lang w:bidi="hi-IN"/>
              </w:rPr>
              <w:t>5.</w:t>
            </w:r>
            <w:r>
              <w:rPr>
                <w:rStyle w:val="Vnculodendice"/>
                <w:rFonts w:ascii="Calibri" w:hAnsi="Calibri"/>
                <w:sz w:val="22"/>
                <w:szCs w:val="22"/>
              </w:rPr>
              <w:tab/>
            </w:r>
            <w:r>
              <w:rPr>
                <w:rStyle w:val="Vnculodendice"/>
                <w:rFonts w:eastAsia="Arial Unicode MS"/>
                <w:lang w:bidi="hi-IN"/>
              </w:rPr>
              <w:t>FASE DE LANCES</w:t>
            </w:r>
            <w:r>
              <w:rPr>
                <w:webHidden/>
              </w:rPr>
              <w:fldChar w:fldCharType="begin"/>
            </w:r>
            <w:r>
              <w:rPr>
                <w:webHidden/>
              </w:rPr>
              <w:instrText xml:space="preserve">PAGEREF _Toc142925864 \h</w:instrText>
            </w:r>
            <w:r>
              <w:rPr>
                <w:webHidden/>
              </w:rPr>
              <w:fldChar w:fldCharType="separate"/>
            </w:r>
            <w:r>
              <w:rPr>
                <w:rStyle w:val="Vnculodendice"/>
              </w:rPr>
              <w:tab/>
              <w:t>8</w:t>
            </w:r>
            <w:r>
              <w:rPr>
                <w:webHidden/>
              </w:rPr>
              <w:fldChar w:fldCharType="end"/>
            </w:r>
          </w:hyperlink>
        </w:p>
        <w:p>
          <w:pPr>
            <w:pStyle w:val="TOC1"/>
            <w:rPr>
              <w:rFonts w:ascii="Calibri" w:hAnsi="Calibri"/>
              <w:sz w:val="22"/>
              <w:szCs w:val="22"/>
            </w:rPr>
          </w:pPr>
          <w:hyperlink w:anchor="_Toc142925865">
            <w:r>
              <w:rPr>
                <w:rStyle w:val="Vnculodendice"/>
                <w:rFonts w:eastAsia="Arial Unicode MS"/>
                <w:lang w:bidi="hi-IN"/>
              </w:rPr>
              <w:t>6.</w:t>
            </w:r>
            <w:r>
              <w:rPr>
                <w:rStyle w:val="Vnculodendice"/>
                <w:rFonts w:ascii="Calibri" w:hAnsi="Calibri"/>
                <w:sz w:val="22"/>
                <w:szCs w:val="22"/>
              </w:rPr>
              <w:tab/>
            </w:r>
            <w:r>
              <w:rPr>
                <w:webHidden/>
              </w:rPr>
              <w:fldChar w:fldCharType="begin"/>
            </w:r>
            <w:r>
              <w:rPr>
                <w:webHidden/>
              </w:rPr>
              <w:instrText xml:space="preserve">PAGEREF _Toc142925865 \h</w:instrText>
            </w:r>
            <w:r>
              <w:rPr>
                <w:webHidden/>
              </w:rPr>
              <w:fldChar w:fldCharType="separate"/>
            </w:r>
            <w:r>
              <w:rPr>
                <w:rStyle w:val="Vnculodendice"/>
              </w:rPr>
              <w:t xml:space="preserve">JULGAMENTO E ACEITAÇÃO DAS PROPOSTAS </w:t>
              <w:tab/>
              <w:t>9</w:t>
            </w:r>
            <w:r>
              <w:rPr>
                <w:webHidden/>
              </w:rPr>
              <w:fldChar w:fldCharType="end"/>
            </w:r>
          </w:hyperlink>
        </w:p>
        <w:p>
          <w:pPr>
            <w:pStyle w:val="TOC1"/>
            <w:rPr>
              <w:rFonts w:ascii="Calibri" w:hAnsi="Calibri"/>
              <w:sz w:val="22"/>
              <w:szCs w:val="22"/>
            </w:rPr>
          </w:pPr>
          <w:hyperlink w:anchor="_Toc142925866">
            <w:r>
              <w:rPr>
                <w:rStyle w:val="Vnculodendice"/>
                <w:rFonts w:eastAsia="Arial Unicode MS"/>
                <w:lang w:bidi="hi-IN"/>
              </w:rPr>
              <w:t>7.</w:t>
            </w:r>
            <w:r>
              <w:rPr>
                <w:rStyle w:val="Vnculodendice"/>
                <w:rFonts w:ascii="Calibri" w:hAnsi="Calibri"/>
                <w:sz w:val="22"/>
                <w:szCs w:val="22"/>
              </w:rPr>
              <w:tab/>
            </w:r>
            <w:r>
              <w:rPr>
                <w:rStyle w:val="Vnculodendice"/>
                <w:rFonts w:eastAsia="Arial Unicode MS"/>
                <w:lang w:bidi="hi-IN"/>
              </w:rPr>
              <w:t>HABILITAÇÃO</w:t>
            </w:r>
            <w:r>
              <w:rPr>
                <w:rStyle w:val="Vnculodendice"/>
              </w:rPr>
              <w:tab/>
              <w:t>10</w:t>
            </w:r>
          </w:hyperlink>
          <w:hyperlink w:anchor="_Toc142925867">
            <w:r>
              <w:rPr>
                <w:webHidden/>
              </w:rPr>
              <w:fldChar w:fldCharType="begin"/>
            </w:r>
            <w:r>
              <w:rPr>
                <w:webHidden/>
              </w:rPr>
              <w:instrText xml:space="preserve">PAGEREF _Toc142925867 \h</w:instrText>
            </w:r>
            <w:r>
              <w:rPr>
                <w:webHidden/>
              </w:rPr>
              <w:fldChar w:fldCharType="separate"/>
            </w:r>
            <w:r>
              <w:rPr>
                <w:rStyle w:val="Vnculodendice"/>
              </w:rPr>
              <w:tab/>
            </w:r>
            <w:r>
              <w:rPr>
                <w:webHidden/>
              </w:rPr>
              <w:fldChar w:fldCharType="end"/>
            </w:r>
          </w:hyperlink>
        </w:p>
        <w:p>
          <w:pPr>
            <w:pStyle w:val="TOC1"/>
            <w:rPr>
              <w:rFonts w:ascii="Calibri" w:hAnsi="Calibri"/>
              <w:sz w:val="22"/>
              <w:szCs w:val="22"/>
            </w:rPr>
          </w:pPr>
          <w:r>
            <w:rPr>
              <w:rFonts w:eastAsia="Arial Unicode MS"/>
              <w:lang w:bidi="hi-IN"/>
            </w:rPr>
            <w:t>8</w:t>
          </w:r>
          <w:hyperlink w:anchor="_Toc142925869">
            <w:r>
              <w:rPr>
                <w:rStyle w:val="Vnculodendice"/>
                <w:rFonts w:eastAsia="Arial Unicode MS"/>
                <w:lang w:bidi="hi-IN"/>
              </w:rPr>
              <w:t>.</w:t>
            </w:r>
            <w:r>
              <w:rPr>
                <w:rStyle w:val="Vnculodendice"/>
                <w:rFonts w:ascii="Calibri" w:hAnsi="Calibri"/>
                <w:sz w:val="22"/>
                <w:szCs w:val="22"/>
              </w:rPr>
              <w:tab/>
            </w:r>
            <w:r>
              <w:rPr>
                <w:rStyle w:val="Vnculodendice"/>
                <w:rFonts w:eastAsia="Arial Unicode MS"/>
                <w:lang w:bidi="hi-IN"/>
              </w:rPr>
              <w:t>CONTRATAÇÃO</w:t>
            </w:r>
            <w:r>
              <w:rPr>
                <w:webHidden/>
              </w:rPr>
              <w:fldChar w:fldCharType="begin"/>
            </w:r>
            <w:r>
              <w:rPr>
                <w:webHidden/>
              </w:rPr>
              <w:instrText xml:space="preserve">PAGEREF _Toc142925869 \h</w:instrText>
            </w:r>
            <w:r>
              <w:rPr>
                <w:webHidden/>
              </w:rPr>
              <w:fldChar w:fldCharType="separate"/>
            </w:r>
            <w:r>
              <w:rPr>
                <w:rStyle w:val="Vnculodendice"/>
              </w:rPr>
              <w:tab/>
              <w:t>13</w:t>
            </w:r>
            <w:r>
              <w:rPr>
                <w:webHidden/>
              </w:rPr>
              <w:fldChar w:fldCharType="end"/>
            </w:r>
          </w:hyperlink>
        </w:p>
        <w:p>
          <w:pPr>
            <w:pStyle w:val="TOC1"/>
            <w:rPr>
              <w:rFonts w:ascii="Calibri" w:hAnsi="Calibri"/>
              <w:sz w:val="22"/>
              <w:szCs w:val="22"/>
            </w:rPr>
          </w:pPr>
          <w:r>
            <w:rPr>
              <w:rFonts w:eastAsia="Arial Unicode MS"/>
              <w:lang w:bidi="hi-IN"/>
            </w:rPr>
            <w:t>9</w:t>
          </w:r>
          <w:hyperlink w:anchor="_Toc142925870">
            <w:r>
              <w:rPr>
                <w:rStyle w:val="Vnculodendice"/>
                <w:rFonts w:eastAsia="Arial Unicode MS"/>
                <w:lang w:bidi="hi-IN"/>
              </w:rPr>
              <w:t>.</w:t>
            </w:r>
            <w:r>
              <w:rPr>
                <w:rStyle w:val="Vnculodendice"/>
                <w:rFonts w:ascii="Calibri" w:hAnsi="Calibri"/>
                <w:sz w:val="22"/>
                <w:szCs w:val="22"/>
              </w:rPr>
              <w:tab/>
            </w:r>
            <w:r>
              <w:rPr>
                <w:rStyle w:val="Vnculodendice"/>
                <w:rFonts w:eastAsia="Arial Unicode MS"/>
                <w:lang w:bidi="hi-IN"/>
              </w:rPr>
              <w:t>INFRAÇÕES E SANÇÕES ADMINISTRATIVAS</w:t>
            </w:r>
            <w:r>
              <w:rPr>
                <w:webHidden/>
              </w:rPr>
              <w:fldChar w:fldCharType="begin"/>
            </w:r>
            <w:r>
              <w:rPr>
                <w:webHidden/>
              </w:rPr>
              <w:instrText xml:space="preserve">PAGEREF _Toc142925870 \h</w:instrText>
            </w:r>
            <w:r>
              <w:rPr>
                <w:webHidden/>
              </w:rPr>
              <w:fldChar w:fldCharType="separate"/>
            </w:r>
            <w:r>
              <w:rPr>
                <w:rStyle w:val="Vnculodendice"/>
              </w:rPr>
              <w:tab/>
              <w:t>14</w:t>
            </w:r>
            <w:r>
              <w:rPr>
                <w:webHidden/>
              </w:rPr>
              <w:fldChar w:fldCharType="end"/>
            </w:r>
          </w:hyperlink>
        </w:p>
        <w:p>
          <w:pPr>
            <w:pStyle w:val="TOC1"/>
            <w:rPr>
              <w:rFonts w:ascii="Calibri" w:hAnsi="Calibri"/>
              <w:sz w:val="22"/>
              <w:szCs w:val="22"/>
            </w:rPr>
          </w:pPr>
          <w:hyperlink w:anchor="_Toc142925871">
            <w:r>
              <w:rPr>
                <w:rStyle w:val="Vnculodendice"/>
                <w:rFonts w:eastAsia="Arial Unicode MS"/>
                <w:lang w:bidi="hi-IN"/>
              </w:rPr>
              <w:t>10.</w:t>
            </w:r>
            <w:r>
              <w:rPr>
                <w:rStyle w:val="Vnculodendice"/>
                <w:rFonts w:ascii="Calibri" w:hAnsi="Calibri"/>
                <w:sz w:val="22"/>
                <w:szCs w:val="22"/>
              </w:rPr>
              <w:tab/>
            </w:r>
            <w:r>
              <w:rPr>
                <w:rStyle w:val="Vnculodendice"/>
                <w:rFonts w:eastAsia="Arial Unicode MS"/>
                <w:lang w:bidi="hi-IN"/>
              </w:rPr>
              <w:t>DAS DISPOSIÇÕES GERAIS</w:t>
            </w:r>
            <w:r>
              <w:rPr>
                <w:webHidden/>
              </w:rPr>
              <w:fldChar w:fldCharType="begin"/>
            </w:r>
            <w:r>
              <w:rPr>
                <w:webHidden/>
              </w:rPr>
              <w:instrText xml:space="preserve">PAGEREF _Toc142925871 \h</w:instrText>
            </w:r>
            <w:r>
              <w:rPr>
                <w:webHidden/>
              </w:rPr>
              <w:fldChar w:fldCharType="separate"/>
            </w:r>
            <w:r>
              <w:rPr>
                <w:rStyle w:val="Vnculodendice"/>
              </w:rPr>
              <w:tab/>
              <w:t>16</w:t>
            </w:r>
            <w:r>
              <w:rPr>
                <w:webHidden/>
              </w:rPr>
              <w:fldChar w:fldCharType="end"/>
            </w:r>
          </w:hyperlink>
        </w:p>
        <w:p>
          <w:pPr>
            <w:pStyle w:val="Normal"/>
            <w:rPr/>
          </w:pPr>
          <w:r>
            <w:rPr/>
          </w:r>
          <w:r>
            <w:rPr/>
            <w:fldChar w:fldCharType="end"/>
          </w:r>
        </w:p>
        <w:p>
          <w:pPr>
            <w:sectPr>
              <w:headerReference w:type="default" r:id="rId2"/>
              <w:headerReference w:type="first" r:id="rId3"/>
              <w:footerReference w:type="default" r:id="rId4"/>
              <w:type w:val="nextPage"/>
              <w:pgSz w:w="11906" w:h="16838"/>
              <w:pgMar w:left="1701" w:right="1701" w:gutter="0" w:header="0" w:top="1417" w:footer="708" w:bottom="1417"/>
              <w:pgNumType w:fmt="decimal"/>
              <w:formProt w:val="false"/>
              <w:titlePg/>
              <w:textDirection w:val="lrTb"/>
              <w:docGrid w:type="default" w:linePitch="360" w:charSpace="0"/>
            </w:sectPr>
          </w:pPr>
          <w:r>
            <w:br w:type="page"/>
          </w:r>
        </w:p>
      </w:sdtContent>
    </w:sdt>
    <w:p>
      <w:pPr>
        <w:pStyle w:val="BodyText"/>
        <w:spacing w:before="0" w:after="280"/>
        <w:jc w:val="center"/>
        <w:rPr>
          <w:rFonts w:ascii="Calibri Light" w:hAnsi="Calibri Light"/>
          <w:sz w:val="24"/>
        </w:rPr>
      </w:pPr>
      <w:r>
        <w:rPr>
          <w:rFonts w:ascii="Calibri Light" w:hAnsi="Calibri Light"/>
          <w:sz w:val="24"/>
        </w:rPr>
        <w:drawing>
          <wp:anchor behindDoc="0" distT="0" distB="0" distL="0" distR="0" simplePos="0" locked="0" layoutInCell="0" allowOverlap="1" relativeHeight="3">
            <wp:simplePos x="0" y="0"/>
            <wp:positionH relativeFrom="column">
              <wp:posOffset>2769235</wp:posOffset>
            </wp:positionH>
            <wp:positionV relativeFrom="paragraph">
              <wp:posOffset>147955</wp:posOffset>
            </wp:positionV>
            <wp:extent cx="577850" cy="508000"/>
            <wp:effectExtent l="0" t="0" r="0" b="0"/>
            <wp:wrapSquare wrapText="bothSides"/>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5"/>
                    <a:stretch>
                      <a:fillRect/>
                    </a:stretch>
                  </pic:blipFill>
                  <pic:spPr bwMode="auto">
                    <a:xfrm>
                      <a:off x="0" y="0"/>
                      <a:ext cx="577850" cy="508000"/>
                    </a:xfrm>
                    <a:prstGeom prst="rect">
                      <a:avLst/>
                    </a:prstGeom>
                  </pic:spPr>
                </pic:pic>
              </a:graphicData>
            </a:graphic>
          </wp:anchor>
        </w:drawing>
      </w:r>
    </w:p>
    <w:p>
      <w:pPr>
        <w:pStyle w:val="Normal"/>
        <w:jc w:val="center"/>
        <w:rPr>
          <w:rFonts w:ascii="Calibri Light" w:hAnsi="Calibri Light" w:eastAsia="Calibri" w:cs="Calibri"/>
          <w:b/>
          <w:sz w:val="24"/>
        </w:rPr>
      </w:pPr>
      <w:r>
        <w:rPr>
          <w:rFonts w:eastAsia="Calibri" w:cs="Calibri" w:ascii="Calibri Light" w:hAnsi="Calibri Light"/>
          <w:b/>
          <w:sz w:val="24"/>
        </w:rPr>
      </w:r>
    </w:p>
    <w:p>
      <w:pPr>
        <w:pStyle w:val="BodyText"/>
        <w:spacing w:lineRule="auto" w:line="240" w:before="0" w:after="83"/>
        <w:jc w:val="center"/>
        <w:rPr>
          <w:rFonts w:ascii="Times New Roman" w:hAnsi="Times New Roman" w:eastAsia="Calibri" w:cs="Arial"/>
          <w:b/>
          <w:bCs/>
          <w:sz w:val="24"/>
        </w:rPr>
      </w:pPr>
      <w:r>
        <w:rPr>
          <w:rFonts w:eastAsia="Calibri" w:cs="Arial" w:ascii="Times New Roman" w:hAnsi="Times New Roman"/>
          <w:b/>
          <w:bCs/>
          <w:sz w:val="24"/>
        </w:rPr>
      </w:r>
    </w:p>
    <w:p>
      <w:pPr>
        <w:pStyle w:val="BodyText"/>
        <w:spacing w:lineRule="auto" w:line="240" w:before="0" w:after="83"/>
        <w:jc w:val="center"/>
        <w:rPr>
          <w:rFonts w:ascii="Times New Roman" w:hAnsi="Times New Roman" w:eastAsia="Calibri" w:cs="Arial"/>
          <w:b/>
          <w:bCs/>
          <w:sz w:val="24"/>
        </w:rPr>
      </w:pPr>
      <w:r>
        <w:rPr>
          <w:rFonts w:eastAsia="Calibri" w:cs="Arial" w:ascii="Times New Roman" w:hAnsi="Times New Roman"/>
          <w:b/>
          <w:bCs/>
          <w:sz w:val="24"/>
        </w:rPr>
        <w:t xml:space="preserve">MINISTÉRIO DA DEFESA </w:t>
      </w:r>
    </w:p>
    <w:p>
      <w:pPr>
        <w:pStyle w:val="BodyText"/>
        <w:spacing w:lineRule="auto" w:line="240" w:before="0" w:after="83"/>
        <w:jc w:val="center"/>
        <w:rPr>
          <w:rFonts w:ascii="Times New Roman" w:hAnsi="Times New Roman"/>
          <w:b/>
          <w:color w:val="000000"/>
          <w:sz w:val="24"/>
        </w:rPr>
      </w:pPr>
      <w:r>
        <w:rPr>
          <w:rFonts w:ascii="Times New Roman" w:hAnsi="Times New Roman"/>
          <w:b/>
          <w:color w:val="000000"/>
          <w:sz w:val="24"/>
        </w:rPr>
        <w:t>EXÉRCITO BRASILEIRO</w:t>
      </w:r>
    </w:p>
    <w:p>
      <w:pPr>
        <w:pStyle w:val="BodyText"/>
        <w:spacing w:lineRule="auto" w:line="240" w:before="0" w:after="83"/>
        <w:jc w:val="center"/>
        <w:rPr>
          <w:rFonts w:ascii="Times New Roman" w:hAnsi="Times New Roman"/>
          <w:b/>
          <w:color w:val="000000"/>
          <w:sz w:val="24"/>
        </w:rPr>
      </w:pPr>
      <w:r>
        <w:rPr>
          <w:rFonts w:ascii="Times New Roman" w:hAnsi="Times New Roman"/>
          <w:b/>
          <w:color w:val="000000"/>
          <w:sz w:val="24"/>
        </w:rPr>
        <w:t>CMN - 23ª Bda Inf Sl</w:t>
      </w:r>
    </w:p>
    <w:p>
      <w:pPr>
        <w:pStyle w:val="BodyText"/>
        <w:spacing w:lineRule="auto" w:line="240" w:before="0" w:after="83"/>
        <w:jc w:val="center"/>
        <w:rPr>
          <w:rFonts w:ascii="Times New Roman" w:hAnsi="Times New Roman"/>
          <w:b/>
          <w:color w:val="000000"/>
          <w:sz w:val="24"/>
        </w:rPr>
      </w:pPr>
      <w:r>
        <w:rPr>
          <w:rFonts w:ascii="Times New Roman" w:hAnsi="Times New Roman"/>
          <w:b/>
          <w:color w:val="000000"/>
          <w:sz w:val="24"/>
        </w:rPr>
        <w:t>50º BATALHÃO DE INFANTARIA DE SELVA</w:t>
      </w:r>
    </w:p>
    <w:p>
      <w:pPr>
        <w:pStyle w:val="BodyText"/>
        <w:spacing w:lineRule="auto" w:line="240" w:before="0" w:after="83"/>
        <w:jc w:val="center"/>
        <w:rPr>
          <w:rFonts w:ascii="Times New Roman" w:hAnsi="Times New Roman"/>
          <w:b/>
          <w:sz w:val="24"/>
        </w:rPr>
      </w:pPr>
      <w:r>
        <w:rPr>
          <w:rFonts w:ascii="Times New Roman" w:hAnsi="Times New Roman"/>
          <w:b/>
          <w:sz w:val="24"/>
        </w:rPr>
        <w:t>(24 BC/1919)</w:t>
      </w:r>
    </w:p>
    <w:p>
      <w:pPr>
        <w:pStyle w:val="BodyText"/>
        <w:spacing w:lineRule="auto" w:line="240" w:before="0" w:after="83"/>
        <w:jc w:val="center"/>
        <w:rPr>
          <w:rFonts w:ascii="Times New Roman" w:hAnsi="Times New Roman"/>
          <w:b/>
          <w:color w:val="000000"/>
          <w:sz w:val="24"/>
        </w:rPr>
      </w:pPr>
      <w:r>
        <w:rPr>
          <w:rFonts w:ascii="Times New Roman" w:hAnsi="Times New Roman"/>
          <w:b/>
          <w:color w:val="000000"/>
          <w:sz w:val="24"/>
        </w:rPr>
        <w:t>BATALHÃO CAP MOR MONIZ BARRETO</w:t>
      </w:r>
    </w:p>
    <w:p>
      <w:pPr>
        <w:pStyle w:val="Normal"/>
        <w:spacing w:lineRule="auto" w:line="276" w:before="0" w:after="120"/>
        <w:ind w:right="-15"/>
        <w:jc w:val="center"/>
        <w:rPr>
          <w:rFonts w:ascii="Times New Roman" w:hAnsi="Times New Roman"/>
          <w:sz w:val="24"/>
        </w:rPr>
      </w:pPr>
      <w:r>
        <w:rPr>
          <w:rFonts w:cs="Arial" w:ascii="Times New Roman" w:hAnsi="Times New Roman"/>
          <w:b/>
          <w:bCs/>
          <w:color w:val="000000"/>
          <w:sz w:val="24"/>
        </w:rPr>
        <w:t>Processo Administrativo n.° 64118.002564/2025-17</w:t>
      </w:r>
    </w:p>
    <w:p>
      <w:pPr>
        <w:pStyle w:val="Normal"/>
        <w:rPr>
          <w:rFonts w:ascii="Times New Roman" w:hAnsi="Times New Roman" w:cs="Arial"/>
          <w:sz w:val="24"/>
        </w:rPr>
      </w:pPr>
      <w:r>
        <w:rPr>
          <w:rFonts w:cs="Arial" w:ascii="Times New Roman" w:hAnsi="Times New Roman"/>
          <w:sz w:val="24"/>
        </w:rPr>
      </w:r>
    </w:p>
    <w:p>
      <w:pPr>
        <w:pStyle w:val="Normal"/>
        <w:snapToGrid w:val="false"/>
        <w:spacing w:lineRule="auto" w:line="276" w:before="0" w:after="120"/>
        <w:ind w:firstLine="540" w:right="-30"/>
        <w:jc w:val="both"/>
        <w:rPr/>
      </w:pPr>
      <w:r>
        <w:rPr>
          <w:rFonts w:cs="Arial" w:ascii="Times New Roman" w:hAnsi="Times New Roman"/>
          <w:color w:val="000000"/>
          <w:sz w:val="24"/>
        </w:rPr>
        <w:t>Torna-se público que o</w:t>
      </w:r>
      <w:r>
        <w:rPr>
          <w:rFonts w:eastAsia="Arial" w:cs="Arial" w:ascii="Times New Roman" w:hAnsi="Times New Roman"/>
          <w:color w:val="000000"/>
          <w:sz w:val="24"/>
        </w:rPr>
        <w:t xml:space="preserve"> </w:t>
      </w:r>
      <w:r>
        <w:rPr>
          <w:rFonts w:eastAsia="Arial" w:cs="Arial" w:ascii="Times New Roman" w:hAnsi="Times New Roman"/>
          <w:b/>
          <w:bCs/>
          <w:color w:val="000000"/>
          <w:sz w:val="24"/>
        </w:rPr>
        <w:t>50º BATALHÃO DE INFANTARIA DE SELVA</w:t>
      </w:r>
      <w:r>
        <w:rPr>
          <w:rFonts w:cs="Arial" w:ascii="Times New Roman" w:hAnsi="Times New Roman"/>
          <w:color w:val="000000"/>
          <w:sz w:val="24"/>
        </w:rPr>
        <w:t xml:space="preserve">, por meio da Seção de aquisições, licitações e contratos, realizará Dispensa Eletrônica, </w:t>
      </w:r>
      <w:r>
        <w:rPr>
          <w:rFonts w:cs="Arial" w:ascii="Times New Roman" w:hAnsi="Times New Roman"/>
          <w:bCs/>
          <w:color w:val="000000"/>
          <w:sz w:val="24"/>
        </w:rPr>
        <w:t>com critério de julgamento de</w:t>
      </w:r>
      <w:r>
        <w:rPr>
          <w:rFonts w:cs="Arial" w:ascii="Times New Roman" w:hAnsi="Times New Roman"/>
          <w:b/>
          <w:bCs/>
          <w:color w:val="000000"/>
          <w:sz w:val="24"/>
        </w:rPr>
        <w:t xml:space="preserve"> </w:t>
      </w:r>
      <w:r>
        <w:rPr>
          <w:rFonts w:cs="Arial" w:ascii="Times New Roman" w:hAnsi="Times New Roman"/>
          <w:b/>
          <w:bCs/>
          <w:sz w:val="24"/>
        </w:rPr>
        <w:t>menor preço,</w:t>
      </w:r>
      <w:r>
        <w:rPr>
          <w:rFonts w:cs="Arial" w:ascii="Times New Roman" w:hAnsi="Times New Roman"/>
          <w:b/>
          <w:bCs/>
          <w:i/>
          <w:color w:val="FF0000"/>
          <w:sz w:val="24"/>
        </w:rPr>
        <w:t xml:space="preserve"> </w:t>
      </w:r>
      <w:r>
        <w:rPr>
          <w:rFonts w:cs="Arial" w:ascii="Times New Roman" w:hAnsi="Times New Roman"/>
          <w:color w:val="000000"/>
          <w:sz w:val="24"/>
        </w:rPr>
        <w:t>na hipótese do art. 75</w:t>
      </w:r>
      <w:r>
        <w:rPr>
          <w:rFonts w:cs="Arial" w:ascii="Times New Roman" w:hAnsi="Times New Roman"/>
          <w:i/>
          <w:iCs/>
          <w:color w:val="000000"/>
          <w:sz w:val="24"/>
        </w:rPr>
        <w:t xml:space="preserve">, </w:t>
      </w:r>
      <w:r>
        <w:rPr>
          <w:rFonts w:cs="Arial" w:ascii="Times New Roman" w:hAnsi="Times New Roman"/>
          <w:sz w:val="24"/>
        </w:rPr>
        <w:t>inciso II - para contratação que envolva valores inferiores a R$  </w:t>
      </w:r>
      <w:r>
        <w:rPr>
          <w:rFonts w:cs="Arial" w:ascii="Times New Roman" w:hAnsi="Times New Roman"/>
          <w:sz w:val="24"/>
        </w:rPr>
        <w:t>62.725,59</w:t>
      </w:r>
      <w:r>
        <w:rPr>
          <w:rFonts w:cs="Arial" w:ascii="Times New Roman" w:hAnsi="Times New Roman"/>
          <w:sz w:val="24"/>
        </w:rPr>
        <w:t>  (</w:t>
      </w:r>
      <w:r>
        <w:rPr>
          <w:rFonts w:cs="Arial" w:ascii="Times New Roman" w:hAnsi="Times New Roman"/>
          <w:sz w:val="24"/>
        </w:rPr>
        <w:t>sessenta e dois</w:t>
      </w:r>
      <w:r>
        <w:rPr>
          <w:rFonts w:cs="Arial" w:ascii="Times New Roman" w:hAnsi="Times New Roman"/>
          <w:sz w:val="24"/>
        </w:rPr>
        <w:t xml:space="preserve"> mil, </w:t>
      </w:r>
      <w:r>
        <w:rPr>
          <w:rFonts w:cs="Arial" w:ascii="Times New Roman" w:hAnsi="Times New Roman"/>
          <w:sz w:val="24"/>
        </w:rPr>
        <w:t>setecentos e vinte e cinco reais e cinquenta e nove centavos</w:t>
      </w:r>
      <w:r>
        <w:rPr>
          <w:rFonts w:cs="Arial" w:ascii="Times New Roman" w:hAnsi="Times New Roman"/>
          <w:sz w:val="24"/>
        </w:rPr>
        <w:t>), no caso de outros serviços e compras, n</w:t>
      </w:r>
      <w:r>
        <w:rPr>
          <w:rFonts w:cs="Arial" w:ascii="Times New Roman" w:hAnsi="Times New Roman"/>
          <w:bCs/>
          <w:color w:themeColor="dark1" w:val="000000"/>
          <w:sz w:val="24"/>
        </w:rPr>
        <w:t>os termos da Lei nº 14.133, de 1º de abril de 2021, da Instrução Normativa Seges/ME nº 67/2021 e demais normas aplicáveis</w:t>
      </w:r>
      <w:r>
        <w:rPr>
          <w:rFonts w:cs="Arial" w:ascii="Times New Roman" w:hAnsi="Times New Roman"/>
          <w:bCs/>
          <w:color w:val="000000"/>
          <w:sz w:val="24"/>
        </w:rPr>
        <w:t>.</w:t>
      </w:r>
      <w:r>
        <w:rPr>
          <w:rFonts w:cs="Arial" w:ascii="Times New Roman" w:hAnsi="Times New Roman"/>
          <w:color w:val="000000"/>
          <w:sz w:val="24"/>
        </w:rPr>
        <w:t>.</w:t>
      </w:r>
    </w:p>
    <w:p>
      <w:pPr>
        <w:pStyle w:val="Normal"/>
        <w:spacing w:lineRule="auto" w:line="276"/>
        <w:jc w:val="both"/>
        <w:rPr>
          <w:rFonts w:ascii="Times New Roman" w:hAnsi="Times New Roman" w:cs="Arial"/>
          <w:color w:themeColor="dark1" w:val="000000"/>
          <w:sz w:val="24"/>
        </w:rPr>
      </w:pPr>
      <w:r>
        <w:rPr>
          <w:rFonts w:cs="Arial" w:ascii="Times New Roman" w:hAnsi="Times New Roman"/>
          <w:color w:themeColor="dark1" w:val="000000"/>
          <w:sz w:val="24"/>
        </w:rPr>
      </w:r>
    </w:p>
    <w:p>
      <w:pPr>
        <w:pStyle w:val="Normal"/>
        <w:spacing w:lineRule="auto" w:line="276"/>
        <w:jc w:val="both"/>
        <w:rPr>
          <w:rFonts w:ascii="Times New Roman" w:hAnsi="Times New Roman"/>
          <w:sz w:val="24"/>
        </w:rPr>
      </w:pPr>
      <w:r>
        <w:rPr>
          <w:rFonts w:cs="Arial" w:ascii="Times New Roman" w:hAnsi="Times New Roman"/>
          <w:b/>
          <w:bCs/>
          <w:sz w:val="24"/>
        </w:rPr>
        <w:t>Data da sessão</w:t>
      </w:r>
      <w:r>
        <w:rPr>
          <w:rFonts w:cs="Arial" w:ascii="Times New Roman" w:hAnsi="Times New Roman"/>
          <w:sz w:val="24"/>
        </w:rPr>
        <w:t xml:space="preserve">: </w:t>
      </w:r>
      <w:r>
        <w:rPr>
          <w:rFonts w:cs="Arial" w:ascii="Times New Roman" w:hAnsi="Times New Roman"/>
          <w:b/>
          <w:bCs/>
          <w:sz w:val="24"/>
          <w:shd w:fill="FFFF00" w:val="clear"/>
        </w:rPr>
        <w:t>10</w:t>
      </w:r>
      <w:r>
        <w:rPr>
          <w:rFonts w:cs="Arial" w:ascii="Times New Roman" w:hAnsi="Times New Roman"/>
          <w:b/>
          <w:bCs/>
          <w:color w:val="000000"/>
          <w:sz w:val="24"/>
          <w:shd w:fill="FFFF00" w:val="clear"/>
        </w:rPr>
        <w:t>/04/2025</w:t>
      </w:r>
    </w:p>
    <w:p>
      <w:pPr>
        <w:pStyle w:val="Normal"/>
        <w:spacing w:lineRule="auto" w:line="276"/>
        <w:rPr>
          <w:rFonts w:ascii="Times New Roman" w:hAnsi="Times New Roman"/>
          <w:sz w:val="24"/>
        </w:rPr>
      </w:pPr>
      <w:r>
        <w:rPr>
          <w:rFonts w:cs="Arial" w:ascii="Times New Roman" w:hAnsi="Times New Roman"/>
          <w:b/>
          <w:bCs/>
          <w:sz w:val="24"/>
        </w:rPr>
        <w:t>Link</w:t>
      </w:r>
      <w:r>
        <w:rPr>
          <w:rFonts w:cs="Arial" w:ascii="Times New Roman" w:hAnsi="Times New Roman"/>
          <w:sz w:val="24"/>
        </w:rPr>
        <w:t>: https://https://www.gov.br/compras/pt-br</w:t>
      </w:r>
    </w:p>
    <w:p>
      <w:pPr>
        <w:pStyle w:val="Normal"/>
        <w:snapToGrid w:val="false"/>
        <w:spacing w:lineRule="auto" w:line="276" w:before="0" w:after="120"/>
        <w:ind w:right="-30"/>
        <w:jc w:val="both"/>
        <w:rPr>
          <w:rFonts w:ascii="Times New Roman" w:hAnsi="Times New Roman"/>
          <w:sz w:val="24"/>
        </w:rPr>
      </w:pPr>
      <w:r>
        <w:rPr>
          <w:rFonts w:ascii="Times New Roman" w:hAnsi="Times New Roman"/>
          <w:b/>
          <w:bCs/>
          <w:color w:val="000000"/>
          <w:sz w:val="24"/>
        </w:rPr>
        <w:t>Horário da Fase de Lances</w:t>
      </w:r>
      <w:r>
        <w:rPr>
          <w:rFonts w:ascii="Times New Roman" w:hAnsi="Times New Roman"/>
          <w:color w:val="000000"/>
          <w:sz w:val="24"/>
        </w:rPr>
        <w:t>:</w:t>
      </w:r>
      <w:r>
        <w:rPr>
          <w:rFonts w:ascii="Times New Roman" w:hAnsi="Times New Roman"/>
          <w:b/>
          <w:bCs/>
          <w:color w:val="000000"/>
          <w:sz w:val="24"/>
          <w:shd w:fill="FFFF00" w:val="clear"/>
        </w:rPr>
        <w:t xml:space="preserve"> 08:00 h</w:t>
      </w:r>
    </w:p>
    <w:p>
      <w:pPr>
        <w:pStyle w:val="Normal"/>
        <w:snapToGrid w:val="false"/>
        <w:spacing w:lineRule="auto" w:line="276" w:before="0" w:after="120"/>
        <w:ind w:right="-30"/>
        <w:jc w:val="both"/>
        <w:rPr>
          <w:rFonts w:ascii="Times New Roman" w:hAnsi="Times New Roman"/>
          <w:sz w:val="24"/>
        </w:rPr>
      </w:pPr>
      <w:r>
        <w:rPr>
          <w:rFonts w:cs="Arial" w:ascii="Times New Roman" w:hAnsi="Times New Roman"/>
          <w:b/>
          <w:bCs/>
          <w:sz w:val="24"/>
        </w:rPr>
        <w:t>Critério de Julgamento:</w:t>
      </w:r>
      <w:r>
        <w:rPr>
          <w:rFonts w:cs="Arial" w:ascii="Times New Roman" w:hAnsi="Times New Roman"/>
          <w:sz w:val="24"/>
        </w:rPr>
        <w:t xml:space="preserve"> </w:t>
      </w:r>
      <w:r>
        <w:rPr>
          <w:rFonts w:cs="Arial" w:ascii="Times New Roman" w:hAnsi="Times New Roman"/>
          <w:b/>
          <w:bCs/>
          <w:color w:val="000000"/>
          <w:sz w:val="24"/>
          <w:shd w:fill="FFFF00" w:val="clear"/>
        </w:rPr>
        <w:t>menor preço</w:t>
      </w:r>
    </w:p>
    <w:p>
      <w:pPr>
        <w:pStyle w:val="Normal"/>
        <w:spacing w:lineRule="auto" w:line="276"/>
        <w:ind w:right="-15"/>
        <w:jc w:val="both"/>
        <w:rPr>
          <w:rFonts w:ascii="Times New Roman" w:hAnsi="Times New Roman"/>
          <w:sz w:val="24"/>
        </w:rPr>
      </w:pPr>
      <w:r>
        <w:rPr>
          <w:rFonts w:ascii="Times New Roman" w:hAnsi="Times New Roman"/>
          <w:sz w:val="24"/>
        </w:rPr>
      </w:r>
    </w:p>
    <w:p>
      <w:pPr>
        <w:pStyle w:val="Normal"/>
        <w:spacing w:lineRule="auto" w:line="276"/>
        <w:ind w:right="-15"/>
        <w:jc w:val="both"/>
        <w:rPr>
          <w:rFonts w:ascii="Times New Roman" w:hAnsi="Times New Roman"/>
          <w:sz w:val="24"/>
        </w:rPr>
      </w:pPr>
      <w:r>
        <w:rPr>
          <w:rFonts w:ascii="Times New Roman" w:hAnsi="Times New Roman"/>
          <w:sz w:val="24"/>
        </w:rPr>
      </w:r>
    </w:p>
    <w:p>
      <w:pPr>
        <w:pStyle w:val="Heading1"/>
        <w:numPr>
          <w:ilvl w:val="0"/>
          <w:numId w:val="1"/>
        </w:numPr>
        <w:rPr>
          <w:rFonts w:ascii="Times New Roman" w:hAnsi="Times New Roman"/>
          <w:sz w:val="24"/>
        </w:rPr>
      </w:pPr>
      <w:bookmarkStart w:id="0" w:name="_Toc142925860"/>
      <w:r>
        <w:rPr>
          <w:rFonts w:ascii="Times New Roman" w:hAnsi="Times New Roman"/>
          <w:sz w:val="24"/>
        </w:rPr>
        <w:t>OBJETO DA CONTRATAÇÃO DIRETA</w:t>
      </w:r>
      <w:bookmarkEnd w:id="0"/>
    </w:p>
    <w:p>
      <w:pPr>
        <w:pStyle w:val="PADRO"/>
        <w:keepNext w:val="false"/>
        <w:widowControl/>
        <w:numPr>
          <w:ilvl w:val="1"/>
          <w:numId w:val="1"/>
        </w:numPr>
        <w:shd w:val="clear" w:fill="auto"/>
        <w:spacing w:before="120" w:after="120"/>
        <w:rPr>
          <w:rFonts w:ascii="Times New Roman" w:hAnsi="Times New Roman"/>
          <w:sz w:val="24"/>
        </w:rPr>
      </w:pPr>
      <w:r>
        <w:rPr>
          <w:rFonts w:cs="Arial" w:ascii="Times New Roman" w:hAnsi="Times New Roman"/>
          <w:color w:themeColor="dark1" w:val="000000"/>
          <w:sz w:val="24"/>
        </w:rPr>
        <w:t xml:space="preserve">O objeto do presente procedimento é a escolha da proposta mais vantajosa para a </w:t>
      </w:r>
      <w:r>
        <w:rPr>
          <w:rFonts w:cs="Arial" w:ascii="Times New Roman" w:hAnsi="Times New Roman"/>
          <w:sz w:val="24"/>
        </w:rPr>
        <w:t xml:space="preserve">contratação, </w:t>
      </w:r>
      <w:r>
        <w:rPr>
          <w:rFonts w:cs="Arial" w:ascii="Times New Roman" w:hAnsi="Times New Roman"/>
          <w:color w:themeColor="dark1" w:val="000000"/>
          <w:sz w:val="24"/>
        </w:rPr>
        <w:t xml:space="preserve">por dispensa de licitação, </w:t>
      </w:r>
      <w:r>
        <w:rPr>
          <w:rFonts w:cs="Arial" w:ascii="Times New Roman" w:hAnsi="Times New Roman"/>
          <w:b/>
          <w:bCs/>
          <w:color w:val="000000"/>
          <w:sz w:val="24"/>
          <w:szCs w:val="24"/>
          <w:shd w:fill="auto" w:val="clear"/>
        </w:rPr>
        <w:t>AQUISIÇÃO DE ÁGUA MINERAL</w:t>
      </w:r>
      <w:r>
        <w:rPr>
          <w:rFonts w:cs="Arial" w:ascii="Times New Roman" w:hAnsi="Times New Roman"/>
          <w:b/>
          <w:bCs/>
          <w:color w:themeColor="dark1" w:val="000000"/>
          <w:sz w:val="24"/>
          <w:shd w:fill="auto" w:val="clear"/>
        </w:rPr>
        <w:t>,</w:t>
      </w:r>
      <w:r>
        <w:rPr>
          <w:rFonts w:cs="Arial" w:ascii="Times New Roman" w:hAnsi="Times New Roman"/>
          <w:color w:themeColor="dark1" w:val="000000"/>
          <w:sz w:val="24"/>
          <w:shd w:fill="auto" w:val="clear"/>
        </w:rPr>
        <w:t xml:space="preserve"> </w:t>
      </w:r>
      <w:r>
        <w:rPr>
          <w:rFonts w:cs="Arial" w:ascii="Times New Roman" w:hAnsi="Times New Roman"/>
          <w:color w:themeColor="dark1" w:val="000000"/>
          <w:sz w:val="24"/>
        </w:rPr>
        <w:t>conforme condições, quantidades e exigências estabelecidas neste Aviso de Contratação Direta e seus anexos.</w:t>
      </w:r>
    </w:p>
    <w:p>
      <w:pPr>
        <w:pStyle w:val="PADRO"/>
        <w:keepNext w:val="false"/>
        <w:widowControl/>
        <w:numPr>
          <w:ilvl w:val="2"/>
          <w:numId w:val="1"/>
        </w:numPr>
        <w:shd w:val="clear" w:fill="auto"/>
        <w:spacing w:before="120" w:after="120"/>
        <w:rPr>
          <w:rFonts w:ascii="Times New Roman" w:hAnsi="Times New Roman"/>
          <w:sz w:val="24"/>
        </w:rPr>
      </w:pPr>
      <w:r>
        <w:rPr>
          <w:rFonts w:cs="Arial" w:ascii="Times New Roman" w:hAnsi="Times New Roman"/>
          <w:sz w:val="24"/>
        </w:rPr>
        <w:t>Havendo mais de um item, faculta-se ao fornecedor a participação em quantos forem de seu interesse.</w:t>
      </w:r>
    </w:p>
    <w:p>
      <w:pPr>
        <w:pStyle w:val="PADRO"/>
        <w:keepNext w:val="false"/>
        <w:widowControl/>
        <w:numPr>
          <w:ilvl w:val="1"/>
          <w:numId w:val="1"/>
        </w:numPr>
        <w:shd w:val="clear" w:fill="auto"/>
        <w:spacing w:before="120" w:after="120"/>
        <w:rPr>
          <w:rFonts w:ascii="Times New Roman" w:hAnsi="Times New Roman"/>
          <w:sz w:val="24"/>
        </w:rPr>
      </w:pPr>
      <w:r>
        <w:rPr>
          <w:rFonts w:cs="Arial" w:ascii="Times New Roman" w:hAnsi="Times New Roman"/>
          <w:sz w:val="24"/>
        </w:rPr>
        <w:t xml:space="preserve">O critério de julgamento adotado será o </w:t>
      </w:r>
      <w:r>
        <w:rPr>
          <w:rFonts w:cs="Arial" w:ascii="Times New Roman" w:hAnsi="Times New Roman"/>
          <w:color w:val="000000"/>
          <w:sz w:val="24"/>
        </w:rPr>
        <w:t>menor preço</w:t>
      </w:r>
      <w:r>
        <w:rPr>
          <w:rFonts w:cs="Arial" w:ascii="Times New Roman" w:hAnsi="Times New Roman"/>
          <w:i/>
          <w:iCs/>
          <w:color w:val="000000"/>
          <w:sz w:val="24"/>
        </w:rPr>
        <w:t>,</w:t>
      </w:r>
      <w:r>
        <w:rPr>
          <w:rFonts w:cs="Arial" w:ascii="Times New Roman" w:hAnsi="Times New Roman"/>
          <w:color w:val="000000"/>
          <w:sz w:val="24"/>
        </w:rPr>
        <w:t xml:space="preserve"> o</w:t>
      </w:r>
      <w:r>
        <w:rPr>
          <w:rFonts w:cs="Arial" w:ascii="Times New Roman" w:hAnsi="Times New Roman"/>
          <w:sz w:val="24"/>
        </w:rPr>
        <w:t>bservadas as exigências contidas neste Aviso de Contratação Direta e seus Anexos quanto às especificações do objeto.</w:t>
      </w:r>
    </w:p>
    <w:p>
      <w:pPr>
        <w:pStyle w:val="PADRO"/>
        <w:widowControl/>
        <w:shd w:val="clear" w:fill="auto"/>
        <w:spacing w:before="120" w:after="120"/>
        <w:rPr>
          <w:rFonts w:ascii="Times New Roman" w:hAnsi="Times New Roman"/>
          <w:sz w:val="24"/>
        </w:rPr>
      </w:pPr>
      <w:r>
        <w:rPr>
          <w:rFonts w:ascii="Times New Roman" w:hAnsi="Times New Roman"/>
          <w:sz w:val="24"/>
        </w:rPr>
      </w:r>
    </w:p>
    <w:p>
      <w:pPr>
        <w:pStyle w:val="PADRO"/>
        <w:widowControl/>
        <w:shd w:val="clear" w:fill="auto"/>
        <w:spacing w:before="120" w:after="120"/>
        <w:rPr>
          <w:rFonts w:ascii="Times New Roman" w:hAnsi="Times New Roman"/>
          <w:sz w:val="24"/>
        </w:rPr>
      </w:pPr>
      <w:r>
        <w:rPr>
          <w:rFonts w:ascii="Times New Roman" w:hAnsi="Times New Roman"/>
          <w:sz w:val="24"/>
        </w:rPr>
      </w:r>
    </w:p>
    <w:tbl>
      <w:tblPr>
        <w:tblW w:w="10381" w:type="dxa"/>
        <w:jc w:val="left"/>
        <w:tblInd w:w="-512" w:type="dxa"/>
        <w:tblLayout w:type="fixed"/>
        <w:tblCellMar>
          <w:top w:w="55" w:type="dxa"/>
          <w:left w:w="2" w:type="dxa"/>
          <w:bottom w:w="55" w:type="dxa"/>
          <w:right w:w="42" w:type="dxa"/>
        </w:tblCellMar>
      </w:tblPr>
      <w:tblGrid>
        <w:gridCol w:w="698"/>
        <w:gridCol w:w="3131"/>
        <w:gridCol w:w="1115"/>
        <w:gridCol w:w="959"/>
        <w:gridCol w:w="903"/>
        <w:gridCol w:w="1029"/>
        <w:gridCol w:w="1355"/>
        <w:gridCol w:w="1189"/>
      </w:tblGrid>
      <w:tr>
        <w:trPr>
          <w:trHeight w:val="915" w:hRule="atLeast"/>
        </w:trPr>
        <w:tc>
          <w:tcPr>
            <w:tcW w:w="698"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eastAsia="Times New Roman" w:cs="Arial" w:ascii="Times New Roman" w:hAnsi="Times New Roman"/>
                <w:b/>
                <w:color w:val="000000"/>
                <w:sz w:val="24"/>
                <w:szCs w:val="24"/>
              </w:rPr>
              <w:t>ITEM</w:t>
            </w:r>
          </w:p>
        </w:tc>
        <w:tc>
          <w:tcPr>
            <w:tcW w:w="3131"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OBJETO</w:t>
            </w:r>
          </w:p>
        </w:tc>
        <w:tc>
          <w:tcPr>
            <w:tcW w:w="1115"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CÓDIGO</w:t>
            </w:r>
          </w:p>
          <w:p>
            <w:pPr>
              <w:pStyle w:val="Normal"/>
              <w:widowControl w:val="false"/>
              <w:spacing w:lineRule="auto" w:line="240" w:before="0" w:after="0"/>
              <w:ind w:hanging="0" w:right="-1"/>
              <w:jc w:val="center"/>
              <w:rPr>
                <w:rFonts w:ascii="Times New Roman" w:hAnsi="Times New Roman"/>
                <w:sz w:val="24"/>
                <w:szCs w:val="24"/>
              </w:rPr>
            </w:pPr>
            <w:r>
              <w:rPr>
                <w:rFonts w:ascii="Times New Roman" w:hAnsi="Times New Roman"/>
                <w:b/>
                <w:sz w:val="24"/>
                <w:szCs w:val="24"/>
              </w:rPr>
              <w:t>CATMAT/CATSER</w:t>
            </w:r>
          </w:p>
        </w:tc>
        <w:tc>
          <w:tcPr>
            <w:tcW w:w="959"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UND</w:t>
            </w:r>
          </w:p>
        </w:tc>
        <w:tc>
          <w:tcPr>
            <w:tcW w:w="903"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QTD</w:t>
            </w:r>
          </w:p>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MÁX</w:t>
            </w:r>
          </w:p>
        </w:tc>
        <w:tc>
          <w:tcPr>
            <w:tcW w:w="1029"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QTD</w:t>
            </w:r>
          </w:p>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MÍN</w:t>
            </w:r>
          </w:p>
        </w:tc>
        <w:tc>
          <w:tcPr>
            <w:tcW w:w="1355" w:type="dxa"/>
            <w:tcBorders>
              <w:top w:val="single" w:sz="2" w:space="0" w:color="000001"/>
              <w:left w:val="single" w:sz="2" w:space="0" w:color="000001"/>
              <w:bottom w:val="single" w:sz="2" w:space="0" w:color="000001"/>
              <w:right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VALOR UNIT.</w:t>
            </w:r>
          </w:p>
        </w:tc>
        <w:tc>
          <w:tcPr>
            <w:tcW w:w="1189" w:type="dxa"/>
            <w:tcBorders>
              <w:top w:val="single" w:sz="2" w:space="0" w:color="000001"/>
              <w:left w:val="single" w:sz="2" w:space="0" w:color="000001"/>
              <w:bottom w:val="single" w:sz="2" w:space="0" w:color="000001"/>
              <w:right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VALOR TOTAL</w:t>
            </w:r>
          </w:p>
        </w:tc>
      </w:tr>
      <w:tr>
        <w:trPr>
          <w:trHeight w:val="648" w:hRule="atLeast"/>
        </w:trPr>
        <w:tc>
          <w:tcPr>
            <w:tcW w:w="698"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color w:val="000000"/>
                <w:sz w:val="24"/>
                <w:szCs w:val="24"/>
              </w:rPr>
              <w:t>1</w:t>
            </w:r>
          </w:p>
        </w:tc>
        <w:tc>
          <w:tcPr>
            <w:tcW w:w="3131" w:type="dxa"/>
            <w:tcBorders>
              <w:top w:val="single" w:sz="2" w:space="0" w:color="000001"/>
              <w:left w:val="single" w:sz="2" w:space="0" w:color="000001"/>
              <w:bottom w:val="single" w:sz="2" w:space="0" w:color="000001"/>
            </w:tcBorders>
            <w:vAlign w:val="center"/>
          </w:tcPr>
          <w:p>
            <w:pPr>
              <w:pStyle w:val="Contedodatabela"/>
              <w:jc w:val="both"/>
              <w:rPr>
                <w:rFonts w:ascii="Times New Roman" w:hAnsi="Times New Roman" w:eastAsia="Microsoft YaHei" w:cs="Times New Roman"/>
                <w:color w:val="000000"/>
                <w:sz w:val="20"/>
                <w:szCs w:val="20"/>
                <w:lang w:val="pt-BR" w:eastAsia="pt-BR"/>
              </w:rPr>
            </w:pPr>
            <w:r>
              <w:rPr>
                <w:rFonts w:eastAsia="Microsoft YaHei" w:cs="Times New Roman" w:ascii="Times New Roman" w:hAnsi="Times New Roman"/>
                <w:color w:val="000000"/>
                <w:sz w:val="20"/>
                <w:szCs w:val="20"/>
                <w:lang w:val="pt-BR" w:eastAsia="pt-BR"/>
              </w:rPr>
              <w:t>Água Mineral Natural Tipo: Sem Gás, Material Embalagem: Plástico, Tipo Embalagem: Retornável. Garrafa 500 mililitro</w:t>
            </w:r>
          </w:p>
        </w:tc>
        <w:tc>
          <w:tcPr>
            <w:tcW w:w="1115" w:type="dxa"/>
            <w:tcBorders>
              <w:top w:val="single" w:sz="2" w:space="0" w:color="000001"/>
              <w:left w:val="single" w:sz="2" w:space="0" w:color="000001"/>
              <w:bottom w:val="single" w:sz="2" w:space="0" w:color="000001"/>
            </w:tcBorders>
            <w:vAlign w:val="center"/>
          </w:tcPr>
          <w:p>
            <w:pPr>
              <w:pStyle w:val="TableParagraph"/>
              <w:jc w:val="center"/>
              <w:rPr>
                <w:rFonts w:ascii="Times New Roman" w:hAnsi="Times New Roman"/>
                <w:sz w:val="20"/>
                <w:szCs w:val="20"/>
              </w:rPr>
            </w:pPr>
            <w:r>
              <w:rPr>
                <w:rFonts w:ascii="Times New Roman" w:hAnsi="Times New Roman"/>
                <w:sz w:val="20"/>
                <w:szCs w:val="20"/>
              </w:rPr>
              <w:t>445485</w:t>
            </w:r>
          </w:p>
        </w:tc>
        <w:tc>
          <w:tcPr>
            <w:tcW w:w="959" w:type="dxa"/>
            <w:tcBorders>
              <w:top w:val="single" w:sz="2" w:space="0" w:color="000001"/>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color w:val="000000"/>
                <w:sz w:val="24"/>
                <w:szCs w:val="24"/>
                <w:lang w:eastAsia="pt-BR"/>
              </w:rPr>
              <w:t>und</w:t>
            </w:r>
          </w:p>
        </w:tc>
        <w:tc>
          <w:tcPr>
            <w:tcW w:w="903"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31500</w:t>
            </w:r>
          </w:p>
        </w:tc>
        <w:tc>
          <w:tcPr>
            <w:tcW w:w="1029"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20.000</w:t>
            </w:r>
          </w:p>
        </w:tc>
        <w:tc>
          <w:tcPr>
            <w:tcW w:w="1355" w:type="dxa"/>
            <w:tcBorders>
              <w:top w:val="single" w:sz="2" w:space="0" w:color="000001"/>
              <w:left w:val="single" w:sz="2" w:space="0" w:color="000001"/>
              <w:bottom w:val="single" w:sz="2" w:space="0" w:color="000001"/>
              <w:right w:val="single" w:sz="2" w:space="0" w:color="000001"/>
            </w:tcBorders>
            <w:vAlign w:val="center"/>
          </w:tcPr>
          <w:p>
            <w:pPr>
              <w:pStyle w:val="Contedodatabela"/>
              <w:jc w:val="center"/>
              <w:rPr/>
            </w:pPr>
            <w:r>
              <w:rPr>
                <w:rStyle w:val="Fontepargpadro"/>
                <w:rFonts w:ascii="Times New Roman" w:hAnsi="Times New Roman"/>
                <w:sz w:val="24"/>
                <w:lang w:val="en-US"/>
              </w:rPr>
              <w:t>R$ 1,48</w:t>
            </w:r>
          </w:p>
        </w:tc>
        <w:tc>
          <w:tcPr>
            <w:tcW w:w="1189" w:type="dxa"/>
            <w:tcBorders>
              <w:top w:val="single" w:sz="2" w:space="0" w:color="000001"/>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=G2*E2</w:instrText>
            </w:r>
            <w:r>
              <w:rPr/>
              <w:fldChar w:fldCharType="separate"/>
            </w:r>
            <w:r>
              <w:rPr/>
              <w:t>46620</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3131" w:type="dxa"/>
            <w:tcBorders>
              <w:left w:val="single" w:sz="2" w:space="0" w:color="000001"/>
              <w:bottom w:val="single" w:sz="2" w:space="0" w:color="000001"/>
            </w:tcBorders>
            <w:vAlign w:val="center"/>
          </w:tcPr>
          <w:p>
            <w:pPr>
              <w:pStyle w:val="Contedodatabela"/>
              <w:jc w:val="both"/>
              <w:rPr>
                <w:rFonts w:ascii="Times New Roman" w:hAnsi="Times New Roman" w:eastAsia="Microsoft YaHei" w:cs="Times New Roman"/>
                <w:color w:val="000000"/>
                <w:sz w:val="20"/>
                <w:szCs w:val="20"/>
                <w:lang w:val="pt-BR" w:eastAsia="pt-BR"/>
              </w:rPr>
            </w:pPr>
            <w:r>
              <w:rPr>
                <w:rFonts w:eastAsia="Microsoft YaHei" w:cs="Times New Roman" w:ascii="Times New Roman" w:hAnsi="Times New Roman"/>
                <w:color w:val="000000"/>
                <w:sz w:val="20"/>
                <w:szCs w:val="20"/>
                <w:lang w:val="pt-BR" w:eastAsia="pt-BR"/>
              </w:rPr>
              <w:t>Água Mineral Natural Tipo: Sem Gás , Material Embalagem: Plástico , Tipo Embalagem: Retornável. Copo 200 mililitro</w:t>
            </w:r>
          </w:p>
        </w:tc>
        <w:tc>
          <w:tcPr>
            <w:tcW w:w="1115" w:type="dxa"/>
            <w:tcBorders>
              <w:left w:val="single" w:sz="2" w:space="0" w:color="000001"/>
              <w:bottom w:val="single" w:sz="2" w:space="0" w:color="000001"/>
            </w:tcBorders>
            <w:vAlign w:val="center"/>
          </w:tcPr>
          <w:p>
            <w:pPr>
              <w:pStyle w:val="TableParagraph"/>
              <w:jc w:val="center"/>
              <w:rPr>
                <w:rFonts w:ascii="Times New Roman" w:hAnsi="Times New Roman"/>
                <w:sz w:val="20"/>
                <w:szCs w:val="20"/>
              </w:rPr>
            </w:pPr>
            <w:r>
              <w:rPr>
                <w:rFonts w:ascii="Times New Roman" w:hAnsi="Times New Roman"/>
                <w:sz w:val="20"/>
                <w:szCs w:val="20"/>
              </w:rPr>
              <w:t>445485</w:t>
            </w:r>
          </w:p>
        </w:tc>
        <w:tc>
          <w:tcPr>
            <w:tcW w:w="959"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color w:val="000000"/>
                <w:sz w:val="24"/>
                <w:szCs w:val="24"/>
                <w:lang w:eastAsia="pt-BR"/>
              </w:rPr>
              <w:t>und</w:t>
            </w:r>
          </w:p>
        </w:tc>
        <w:tc>
          <w:tcPr>
            <w:tcW w:w="903"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22.000</w:t>
            </w:r>
          </w:p>
        </w:tc>
        <w:tc>
          <w:tcPr>
            <w:tcW w:w="1029"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19.142</w:t>
            </w:r>
          </w:p>
        </w:tc>
        <w:tc>
          <w:tcPr>
            <w:tcW w:w="1355" w:type="dxa"/>
            <w:tcBorders>
              <w:left w:val="single" w:sz="2" w:space="0" w:color="000001"/>
              <w:bottom w:val="single" w:sz="2" w:space="0" w:color="000001"/>
              <w:right w:val="single" w:sz="2" w:space="0" w:color="000001"/>
            </w:tcBorders>
            <w:vAlign w:val="center"/>
          </w:tcPr>
          <w:p>
            <w:pPr>
              <w:pStyle w:val="Contedodatabela"/>
              <w:jc w:val="center"/>
              <w:rPr/>
            </w:pPr>
            <w:r>
              <w:rPr>
                <w:rStyle w:val="Fontepargpadro"/>
                <w:rFonts w:ascii="Times New Roman" w:hAnsi="Times New Roman"/>
                <w:sz w:val="24"/>
                <w:lang w:val="en-US"/>
              </w:rPr>
              <w:t>R$ 0,70</w:t>
            </w:r>
          </w:p>
        </w:tc>
        <w:tc>
          <w:tcPr>
            <w:tcW w:w="1189"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=G3*E3</w:instrText>
            </w:r>
            <w:r>
              <w:rPr/>
              <w:fldChar w:fldCharType="separate"/>
            </w:r>
            <w:r>
              <w:rPr/>
              <w:t>15400</w:t>
            </w:r>
            <w:r>
              <w:rPr/>
              <w:fldChar w:fldCharType="end"/>
            </w:r>
          </w:p>
        </w:tc>
      </w:tr>
      <w:tr>
        <w:trPr>
          <w:trHeight w:val="648" w:hRule="atLeast"/>
        </w:trPr>
        <w:tc>
          <w:tcPr>
            <w:tcW w:w="7835" w:type="dxa"/>
            <w:gridSpan w:val="6"/>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TOTAL</w:t>
            </w:r>
          </w:p>
        </w:tc>
        <w:tc>
          <w:tcPr>
            <w:tcW w:w="2544" w:type="dxa"/>
            <w:gridSpan w:val="2"/>
            <w:tcBorders>
              <w:left w:val="single" w:sz="2" w:space="0" w:color="000001"/>
              <w:bottom w:val="single" w:sz="2" w:space="0" w:color="000001"/>
              <w:right w:val="single" w:sz="2" w:space="0" w:color="000001"/>
            </w:tcBorders>
            <w:vAlign w:val="center"/>
          </w:tcPr>
          <w:p>
            <w:pPr>
              <w:pStyle w:val="Normal1"/>
              <w:spacing w:lineRule="auto" w:line="240" w:before="0" w:after="0"/>
              <w:jc w:val="center"/>
              <w:rPr/>
            </w:pPr>
            <w:r>
              <w:rPr/>
              <w:t>R$ 62.020,00</w:t>
            </w:r>
          </w:p>
        </w:tc>
      </w:tr>
    </w:tbl>
    <w:p>
      <w:pPr>
        <w:pStyle w:val="Normal"/>
        <w:widowControl/>
        <w:spacing w:before="120" w:after="120"/>
        <w:ind w:hanging="0"/>
        <w:rPr/>
      </w:pPr>
      <w:r>
        <w:rPr/>
      </w:r>
    </w:p>
    <w:p>
      <w:pPr>
        <w:pStyle w:val="Heading1"/>
        <w:numPr>
          <w:ilvl w:val="0"/>
          <w:numId w:val="1"/>
        </w:numPr>
        <w:spacing w:before="0" w:after="120"/>
        <w:rPr>
          <w:rFonts w:ascii="Times New Roman" w:hAnsi="Times New Roman"/>
          <w:sz w:val="24"/>
        </w:rPr>
      </w:pPr>
      <w:r>
        <w:rPr>
          <w:rFonts w:ascii="Times New Roman" w:hAnsi="Times New Roman"/>
          <w:sz w:val="24"/>
        </w:rPr>
        <w:t>PARTICIPAÇÃO NA DISPENSA ELETRÔNICA.</w:t>
      </w:r>
    </w:p>
    <w:p>
      <w:pPr>
        <w:pStyle w:val="Normal"/>
        <w:numPr>
          <w:ilvl w:val="1"/>
          <w:numId w:val="1"/>
        </w:numPr>
        <w:spacing w:lineRule="auto" w:line="276" w:before="120" w:after="120"/>
        <w:ind w:hanging="0" w:left="425"/>
        <w:jc w:val="both"/>
        <w:rPr/>
      </w:pPr>
      <w:r>
        <w:rPr>
          <w:rFonts w:cs="Arial" w:ascii="Times New Roman" w:hAnsi="Times New Roman"/>
          <w:sz w:val="24"/>
        </w:rPr>
        <w:t xml:space="preserve">A </w:t>
      </w:r>
      <w:r>
        <w:rPr>
          <w:rFonts w:cs="Arial" w:ascii="Times New Roman" w:hAnsi="Times New Roman"/>
          <w:color w:themeColor="dark1" w:val="000000"/>
          <w:sz w:val="24"/>
        </w:rPr>
        <w:t>participação</w:t>
      </w:r>
      <w:r>
        <w:rPr>
          <w:rFonts w:cs="Arial" w:ascii="Times New Roman" w:hAnsi="Times New Roman"/>
          <w:sz w:val="24"/>
        </w:rPr>
        <w:t xml:space="preserve"> na presente dispensa eletrônica ocorrerá por meio do </w:t>
      </w:r>
      <w:r>
        <w:rPr>
          <w:rFonts w:cs="Arial" w:ascii="Times New Roman" w:hAnsi="Times New Roman"/>
          <w:bCs/>
          <w:sz w:val="24"/>
        </w:rPr>
        <w:t>Sistema de Dispensa Eletrônica, ferramenta informatizada</w:t>
      </w:r>
      <w:r>
        <w:rPr>
          <w:rFonts w:cs="Arial" w:ascii="Times New Roman" w:hAnsi="Times New Roman"/>
          <w:sz w:val="24"/>
        </w:rPr>
        <w:t xml:space="preserve"> integrante do Sistema de Compras do Governo Federal – Compras.gov.br, disponível no </w:t>
      </w:r>
      <w:r>
        <w:rPr>
          <w:rFonts w:cs="Arial" w:ascii="Times New Roman" w:hAnsi="Times New Roman"/>
          <w:bCs/>
          <w:sz w:val="24"/>
        </w:rPr>
        <w:t xml:space="preserve">Portal de Compras do Governo Federal, no endereço eletrônico </w:t>
      </w:r>
      <w:hyperlink r:id="rId6">
        <w:r>
          <w:rPr>
            <w:rStyle w:val="Hyperlink"/>
            <w:rFonts w:cs="Arial" w:ascii="Times New Roman" w:hAnsi="Times New Roman"/>
            <w:bCs/>
            <w:sz w:val="24"/>
          </w:rPr>
          <w:t>www.gov.br/compras</w:t>
        </w:r>
      </w:hyperlink>
      <w:r>
        <w:rPr>
          <w:rFonts w:cs="Arial" w:ascii="Times New Roman" w:hAnsi="Times New Roman"/>
          <w:bCs/>
          <w:sz w:val="24"/>
        </w:rPr>
        <w:t>.</w:t>
      </w:r>
      <w:r>
        <w:rPr>
          <w:rFonts w:cs="Arial" w:ascii="Times New Roman" w:hAnsi="Times New Roman"/>
          <w:sz w:val="24"/>
        </w:rPr>
        <w:t xml:space="preserve"> </w:t>
      </w:r>
    </w:p>
    <w:p>
      <w:pPr>
        <w:pStyle w:val="Normal"/>
        <w:numPr>
          <w:ilvl w:val="2"/>
          <w:numId w:val="1"/>
        </w:numPr>
        <w:spacing w:lineRule="auto" w:line="276" w:before="120" w:after="120"/>
        <w:jc w:val="both"/>
        <w:rPr/>
      </w:pPr>
      <w:r>
        <w:rPr>
          <w:rFonts w:cs="Arial" w:ascii="Times New Roman" w:hAnsi="Times New Roman"/>
          <w:sz w:val="24"/>
        </w:rPr>
        <w:t xml:space="preserve">O procedimento será divulgado no Compras.gov.br e no </w:t>
      </w:r>
      <w:hyperlink r:id="rId7">
        <w:r>
          <w:rPr>
            <w:rStyle w:val="Hyperlink"/>
            <w:rFonts w:cs="Arial" w:ascii="Times New Roman" w:hAnsi="Times New Roman"/>
            <w:sz w:val="24"/>
          </w:rPr>
          <w:t>Portal Nacional de Contratações Públicas - PNCP</w:t>
        </w:r>
      </w:hyperlink>
      <w:r>
        <w:rPr>
          <w:rFonts w:cs="Arial" w:ascii="Times New Roman" w:hAnsi="Times New Roman"/>
          <w:sz w:val="24"/>
        </w:rPr>
        <w:t>, e encaminhado automaticamente aos fornecedores registrados no Sistema de Registro Cadastral Unificado -Sicaf, por mensagem eletrônica, na correspondente linha de fornecimento que pretende atender.</w:t>
      </w:r>
    </w:p>
    <w:p>
      <w:pPr>
        <w:pStyle w:val="Normal"/>
        <w:numPr>
          <w:ilvl w:val="2"/>
          <w:numId w:val="1"/>
        </w:numPr>
        <w:spacing w:lineRule="auto" w:line="276" w:before="120" w:after="120"/>
        <w:jc w:val="both"/>
        <w:rPr/>
      </w:pPr>
      <w:r>
        <w:rPr>
          <w:rFonts w:cs="Arial" w:ascii="Times New Roman" w:hAnsi="Times New Roman"/>
          <w:sz w:val="24"/>
        </w:rPr>
        <w:t xml:space="preserve">O Compras.gov.br poderá ser acessado pela web ou pelo </w:t>
      </w:r>
      <w:hyperlink r:id="rId8">
        <w:r>
          <w:rPr>
            <w:rStyle w:val="Hyperlink"/>
            <w:rFonts w:cs="Arial" w:ascii="Times New Roman" w:hAnsi="Times New Roman"/>
            <w:sz w:val="24"/>
          </w:rPr>
          <w:t>aplicativo Compras.gov.br.</w:t>
        </w:r>
      </w:hyperlink>
    </w:p>
    <w:p>
      <w:pPr>
        <w:pStyle w:val="Normal"/>
        <w:numPr>
          <w:ilvl w:val="2"/>
          <w:numId w:val="1"/>
        </w:numPr>
        <w:snapToGrid w:val="false"/>
        <w:spacing w:lineRule="auto" w:line="276" w:before="120" w:after="120"/>
        <w:jc w:val="both"/>
        <w:rPr>
          <w:rFonts w:ascii="Times New Roman" w:hAnsi="Times New Roman"/>
          <w:sz w:val="24"/>
        </w:rPr>
      </w:pPr>
      <w:r>
        <w:rPr>
          <w:rFonts w:cs="Arial" w:ascii="Times New Roman" w:hAnsi="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Para todos os itens, a participação é exclusiva a microempresas e empresas de pequeno porte, nos termos do art. 49, inciso IV, c/c o art. 48, inciso I, da Lei Complementar nº 123, de 14 de dezembro de 2006.</w:t>
      </w:r>
    </w:p>
    <w:p>
      <w:pPr>
        <w:pStyle w:val="Normal"/>
        <w:numPr>
          <w:ilvl w:val="2"/>
          <w:numId w:val="1"/>
        </w:numPr>
        <w:snapToGrid w:val="false"/>
        <w:spacing w:lineRule="auto" w:line="276" w:before="120" w:after="120"/>
        <w:jc w:val="both"/>
        <w:rPr>
          <w:rFonts w:ascii="Times New Roman" w:hAnsi="Times New Roman"/>
          <w:color w:val="000000"/>
          <w:sz w:val="24"/>
        </w:rPr>
      </w:pPr>
      <w:r>
        <w:rPr>
          <w:rFonts w:cs="Arial" w:ascii="Times New Roman" w:hAnsi="Times New Roman"/>
          <w:color w:val="000000"/>
          <w:sz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pPr>
        <w:pStyle w:val="Normal"/>
        <w:numPr>
          <w:ilvl w:val="2"/>
          <w:numId w:val="1"/>
        </w:numPr>
        <w:snapToGrid w:val="false"/>
        <w:spacing w:lineRule="auto" w:line="276" w:before="120" w:after="120"/>
        <w:jc w:val="both"/>
        <w:rPr>
          <w:rFonts w:ascii="Times New Roman" w:hAnsi="Times New Roman"/>
          <w:color w:val="000000"/>
          <w:sz w:val="24"/>
        </w:rPr>
      </w:pPr>
      <w:r>
        <w:rPr>
          <w:rFonts w:cs="Arial" w:ascii="Times New Roman" w:hAnsi="Times New Roman"/>
          <w:color w:val="000000"/>
          <w:sz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120" w:after="120"/>
        <w:jc w:val="both"/>
        <w:rPr>
          <w:rFonts w:ascii="Times New Roman" w:hAnsi="Times New Roman" w:cs="Arial"/>
          <w:color w:themeColor="dark1" w:val="000000"/>
          <w:sz w:val="24"/>
        </w:rPr>
      </w:pPr>
      <w:r>
        <w:rPr>
          <w:rFonts w:cs="Arial" w:ascii="Times New Roman" w:hAnsi="Times New Roman"/>
          <w:color w:themeColor="dark1" w:val="000000"/>
          <w:sz w:val="24"/>
        </w:rPr>
      </w:r>
    </w:p>
    <w:p>
      <w:pPr>
        <w:pStyle w:val="Normal"/>
        <w:numPr>
          <w:ilvl w:val="1"/>
          <w:numId w:val="1"/>
        </w:numPr>
        <w:spacing w:lineRule="auto" w:line="276" w:before="120" w:after="120"/>
        <w:ind w:hanging="0" w:left="425"/>
        <w:jc w:val="both"/>
        <w:rPr>
          <w:rFonts w:ascii="Times New Roman" w:hAnsi="Times New Roman"/>
          <w:sz w:val="24"/>
        </w:rPr>
      </w:pPr>
      <w:bookmarkStart w:id="1" w:name="_Ref144286315"/>
      <w:r>
        <w:rPr>
          <w:rFonts w:cs="Arial" w:ascii="Times New Roman" w:hAnsi="Times New Roman"/>
          <w:color w:themeColor="dark1" w:val="000000"/>
          <w:sz w:val="24"/>
        </w:rPr>
        <w:t>Não poderão participar desta dispensa de licitação os fornecedores:</w:t>
      </w:r>
      <w:bookmarkEnd w:id="1"/>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não atendam às condições deste Aviso de Contratação Direta e seu(s) anexo(s);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se enquadrem nas seguintes vedações:</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pPr>
      <w:r>
        <w:rPr>
          <w:rFonts w:cs="Arial" w:ascii="Times New Roman" w:hAnsi="Times New Roman"/>
          <w:color w:val="000000"/>
          <w:sz w:val="24"/>
        </w:rPr>
        <w:t xml:space="preserve">empresas controladoras, controladas ou coligadas, nos termos da </w:t>
      </w:r>
      <w:hyperlink r:id="rId9">
        <w:r>
          <w:rPr>
            <w:rStyle w:val="Hyperlink"/>
            <w:rFonts w:eastAsia="Calibri" w:cs="Arial" w:ascii="Times New Roman" w:hAnsi="Times New Roman"/>
            <w:sz w:val="24"/>
          </w:rPr>
          <w:t>Lei nº 6.404, de 15 de dezembro de 1976</w:t>
        </w:r>
      </w:hyperlink>
      <w:r>
        <w:rPr>
          <w:rFonts w:cs="Arial" w:ascii="Times New Roman" w:hAnsi="Times New Roman"/>
          <w:color w:val="000000"/>
          <w:sz w:val="24"/>
        </w:rPr>
        <w:t>, concorrendo entre si;</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Times New Roman" w:hAnsi="Times New Roman"/>
          <w:sz w:val="24"/>
        </w:rPr>
      </w:pPr>
      <w:r>
        <w:rPr>
          <w:rFonts w:cs="Arial" w:ascii="Times New Roman" w:hAnsi="Times New Roman"/>
          <w:color w:val="000000"/>
          <w:sz w:val="24"/>
        </w:rPr>
        <w:t>Equiparam-se aos autores do projeto as empresas integrantes do mesmo grupo econômico;</w:t>
      </w:r>
    </w:p>
    <w:p>
      <w:pPr>
        <w:pStyle w:val="Normal"/>
        <w:numPr>
          <w:ilvl w:val="3"/>
          <w:numId w:val="1"/>
        </w:numPr>
        <w:spacing w:lineRule="auto" w:line="276" w:before="120" w:after="120"/>
        <w:jc w:val="both"/>
        <w:rPr>
          <w:rFonts w:ascii="Times New Roman" w:hAnsi="Times New Roman"/>
          <w:sz w:val="24"/>
        </w:rPr>
      </w:pPr>
      <w:r>
        <w:rPr>
          <w:rFonts w:cs="Arial" w:ascii="Times New Roman" w:hAnsi="Times New Roman"/>
          <w:color w:val="000000"/>
          <w:sz w:val="24"/>
        </w:rPr>
        <w:t xml:space="preserve"> </w:t>
      </w:r>
      <w:r>
        <w:rPr>
          <w:rFonts w:cs="Arial" w:ascii="Times New Roman" w:hAnsi="Times New Roman"/>
          <w:color w:val="000000"/>
          <w:sz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organizações da Sociedade Civil de Interesse Público - OSCIP, atuando nessa condição (Acórdão nº 746/2014-TCU-Plenário); e</w:t>
      </w:r>
    </w:p>
    <w:p>
      <w:pPr>
        <w:pStyle w:val="Normal"/>
        <w:numPr>
          <w:ilvl w:val="1"/>
          <w:numId w:val="1"/>
        </w:numPr>
        <w:spacing w:lineRule="auto" w:line="276" w:before="120" w:after="120"/>
        <w:jc w:val="both"/>
        <w:rPr/>
      </w:pPr>
      <w:r>
        <w:rPr>
          <w:rFonts w:cs="Arial" w:ascii="Times New Roman" w:hAnsi="Times New Roman"/>
          <w:color w:val="000000"/>
          <w:sz w:val="24"/>
        </w:rPr>
        <w:t xml:space="preserve">Será permitida a participação de cooperativas, desde que apresentem demonstrativo de atuação em regime cooperado, com repartição de receitas e despesas entre os cooperados e atendam ao </w:t>
      </w:r>
      <w:r>
        <w:fldChar w:fldCharType="begin"/>
      </w:r>
      <w:r>
        <w:rPr>
          <w:rStyle w:val="Hyperlink"/>
        </w:rPr>
        <w:instrText xml:space="preserve"> HYPERLINK "http://www.planalto.gov.br/ccivil_03/_ato2019-2022/2021/lei/L14133.htm" \l "art16"</w:instrText>
      </w:r>
      <w:r>
        <w:rPr>
          <w:rStyle w:val="Hyperlink"/>
        </w:rPr>
        <w:fldChar w:fldCharType="separate"/>
      </w:r>
      <w:r>
        <w:rPr>
          <w:rStyle w:val="Hyperlink"/>
        </w:rPr>
        <w:t>art. 16 da Lei nº 14.133, de 2021</w:t>
      </w:r>
      <w:r>
        <w:rPr>
          <w:rStyle w:val="Hyperlink"/>
        </w:rPr>
        <w:fldChar w:fldCharType="end"/>
      </w:r>
      <w:r>
        <w:rPr>
          <w:rFonts w:cs="Arial" w:ascii="Times New Roman" w:hAnsi="Times New Roman"/>
          <w:color w:val="000000"/>
          <w:sz w:val="24"/>
        </w:rPr>
        <w:t>.</w:t>
      </w:r>
    </w:p>
    <w:p>
      <w:pPr>
        <w:pStyle w:val="Normal"/>
        <w:numPr>
          <w:ilvl w:val="2"/>
          <w:numId w:val="1"/>
        </w:numPr>
        <w:spacing w:lineRule="auto" w:line="276" w:before="120" w:after="120"/>
        <w:jc w:val="both"/>
        <w:rPr/>
      </w:pPr>
      <w:r>
        <w:rPr>
          <w:rFonts w:cs="Arial" w:ascii="Times New Roman" w:hAnsi="Times New Roman"/>
          <w:color w:val="000000"/>
          <w:sz w:val="24"/>
        </w:rPr>
        <w:t xml:space="preserve">Em sendo permitida a participação de cooperativas, serão estendidas a elas os benefícios previstos para as microempresas e empresas de pequeno porte quando elas atenderem ao disposto </w:t>
      </w:r>
      <w:r>
        <w:fldChar w:fldCharType="begin"/>
      </w:r>
      <w:r>
        <w:rPr>
          <w:rStyle w:val="Hyperlink"/>
          <w:sz w:val="24"/>
          <w:rFonts w:cs="Arial" w:ascii="Times New Roman" w:hAnsi="Times New Roman"/>
          <w:color w:val="000000"/>
        </w:rPr>
        <w:instrText xml:space="preserve"> HYPERLINK "https://www.planalto.gov.br/ccivil_03/_ato2007-2010/2007/lei/l11488.htm" \l "art34"</w:instrText>
      </w:r>
      <w:r>
        <w:rPr>
          <w:rStyle w:val="Hyperlink"/>
          <w:sz w:val="24"/>
          <w:rFonts w:cs="Arial" w:ascii="Times New Roman" w:hAnsi="Times New Roman"/>
          <w:color w:val="000000"/>
        </w:rPr>
        <w:fldChar w:fldCharType="separate"/>
      </w:r>
      <w:r>
        <w:rPr>
          <w:rStyle w:val="Hyperlink"/>
          <w:rFonts w:cs="Arial" w:ascii="Times New Roman" w:hAnsi="Times New Roman"/>
          <w:color w:val="000000"/>
          <w:sz w:val="24"/>
        </w:rPr>
        <w:t>no art. 34 da Lei n.º 11.488, de 15 de junho de 2007</w:t>
      </w:r>
      <w:r>
        <w:rPr>
          <w:rStyle w:val="Hyperlink"/>
          <w:sz w:val="24"/>
          <w:rFonts w:cs="Arial" w:ascii="Times New Roman" w:hAnsi="Times New Roman"/>
          <w:color w:val="000000"/>
        </w:rPr>
        <w:fldChar w:fldCharType="end"/>
      </w:r>
      <w:r>
        <w:rPr>
          <w:rFonts w:cs="Arial" w:ascii="Times New Roman" w:hAnsi="Times New Roman"/>
          <w:color w:val="000000"/>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Hyperlink"/>
          <w:sz w:val="24"/>
          <w:bCs/>
          <w:rFonts w:cs="Arial" w:ascii="Times New Roman" w:hAnsi="Times New Roman"/>
        </w:rPr>
        <w:instrText xml:space="preserve"> HYPERLINK "http://www.planalto.gov.br/ccivil_03/_ato2019-2022/2021/lei/L14133.htm" \l "art9§1"</w:instrText>
      </w:r>
      <w:r>
        <w:rPr>
          <w:rStyle w:val="Hyperlink"/>
          <w:sz w:val="24"/>
          <w:bCs/>
          <w:rFonts w:cs="Arial" w:ascii="Times New Roman" w:hAnsi="Times New Roman"/>
        </w:rPr>
        <w:fldChar w:fldCharType="separate"/>
      </w:r>
      <w:r>
        <w:rPr>
          <w:rStyle w:val="Hyperlink"/>
          <w:rFonts w:cs="Arial" w:ascii="Times New Roman" w:hAnsi="Times New Roman"/>
          <w:bCs/>
          <w:sz w:val="24"/>
        </w:rPr>
        <w:t>§ 1º do art. 9º da Lei n.º 14.133, de 2021</w:t>
      </w:r>
      <w:r>
        <w:rPr>
          <w:rStyle w:val="Hyperlink"/>
          <w:sz w:val="24"/>
          <w:bCs/>
          <w:rFonts w:cs="Arial" w:ascii="Times New Roman" w:hAnsi="Times New Roman"/>
        </w:rPr>
        <w:fldChar w:fldCharType="end"/>
      </w:r>
      <w:r>
        <w:rPr>
          <w:rFonts w:cs="Arial" w:ascii="Times New Roman" w:hAnsi="Times New Roman"/>
          <w:bCs/>
          <w:sz w:val="24"/>
        </w:rPr>
        <w:t>.</w:t>
      </w:r>
    </w:p>
    <w:p>
      <w:pPr>
        <w:pStyle w:val="Normal"/>
        <w:spacing w:lineRule="auto" w:line="276" w:before="120" w:after="120"/>
        <w:ind w:left="425"/>
        <w:jc w:val="both"/>
        <w:rPr>
          <w:rFonts w:ascii="Times New Roman" w:hAnsi="Times New Roman" w:cs="Arial"/>
          <w:bCs/>
          <w:sz w:val="24"/>
        </w:rPr>
      </w:pPr>
      <w:r>
        <w:rPr>
          <w:rFonts w:cs="Arial" w:ascii="Times New Roman" w:hAnsi="Times New Roman"/>
          <w:bCs/>
          <w:sz w:val="24"/>
        </w:rPr>
      </w:r>
    </w:p>
    <w:p>
      <w:pPr>
        <w:pStyle w:val="Heading1"/>
        <w:numPr>
          <w:ilvl w:val="0"/>
          <w:numId w:val="1"/>
        </w:numPr>
        <w:rPr>
          <w:rFonts w:ascii="Times New Roman" w:hAnsi="Times New Roman"/>
          <w:sz w:val="24"/>
        </w:rPr>
      </w:pPr>
      <w:bookmarkStart w:id="2" w:name="_Toc142925863"/>
      <w:r>
        <w:rPr>
          <w:rFonts w:ascii="Times New Roman" w:hAnsi="Times New Roman"/>
          <w:sz w:val="24"/>
        </w:rPr>
        <w:t>INGRESSO NA DISPENSA ELETRÔNICA E CADASTRAMENTO DA PROPOSTA INICIAL</w:t>
      </w:r>
      <w:bookmarkEnd w:id="2"/>
    </w:p>
    <w:p>
      <w:pPr>
        <w:pStyle w:val="Normal"/>
        <w:numPr>
          <w:ilvl w:val="1"/>
          <w:numId w:val="1"/>
        </w:numPr>
        <w:snapToGrid w:val="false"/>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ListParagraph"/>
        <w:rPr>
          <w:rFonts w:cs="Arial"/>
          <w:i/>
          <w:i/>
          <w:iCs/>
          <w:color w:val="FF0000"/>
          <w:shd w:fill="00FFFF" w:val="clear"/>
        </w:rPr>
      </w:pPr>
      <w:r>
        <w:rPr>
          <w:rFonts w:cs="Arial"/>
          <w:i/>
          <w:iCs/>
          <w:color w:val="FF0000"/>
          <w:shd w:fill="00FFFF" w:val="clear"/>
        </w:rPr>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 xml:space="preserve">Todas as especificações do </w:t>
      </w:r>
      <w:r>
        <w:rPr>
          <w:rFonts w:cs="Arial" w:ascii="Times New Roman" w:hAnsi="Times New Roman"/>
          <w:color w:themeColor="dark1" w:val="000000"/>
          <w:sz w:val="24"/>
        </w:rPr>
        <w:t>objeto</w:t>
      </w:r>
      <w:r>
        <w:rPr>
          <w:rFonts w:cs="Arial" w:ascii="Times New Roman" w:hAnsi="Times New Roman"/>
          <w:sz w:val="24"/>
        </w:rPr>
        <w:t xml:space="preserve"> contidas na proposta, em especial o preço ou o desconto ofertados, vinculam a Contratada.</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sz w:val="24"/>
        </w:rPr>
        <w:t xml:space="preserve"> </w:t>
      </w:r>
      <w:r>
        <w:rPr>
          <w:rFonts w:cs="Arial" w:ascii="Times New Roman" w:hAnsi="Times New Roman"/>
          <w:sz w:val="24"/>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 xml:space="preserve">A apresentação das propostas implica obrigatoriedade do cumprimento das disposições nelas contidas, em conformidade com o que dispõe o </w:t>
      </w:r>
      <w:r>
        <w:rPr>
          <w:rFonts w:cs="Arial" w:ascii="Times New Roman" w:hAnsi="Times New Roman"/>
          <w:iCs/>
          <w:sz w:val="24"/>
        </w:rPr>
        <w:t>Termo de Referência</w:t>
      </w:r>
      <w:r>
        <w:rPr>
          <w:rFonts w:cs="Arial" w:ascii="Times New Roman" w:hAnsi="Times New Roman"/>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 xml:space="preserve">O </w:t>
      </w:r>
      <w:r>
        <w:rPr>
          <w:rFonts w:cs="Arial" w:ascii="Times New Roman" w:hAnsi="Times New Roman"/>
          <w:sz w:val="24"/>
        </w:rPr>
        <w:t>prazo</w:t>
      </w:r>
      <w:r>
        <w:rPr>
          <w:rFonts w:cs="Arial" w:ascii="Times New Roman" w:hAnsi="Times New Roman"/>
          <w:color w:themeColor="dark1" w:val="000000"/>
          <w:sz w:val="24"/>
        </w:rPr>
        <w:t xml:space="preserve"> de validade </w:t>
      </w:r>
      <w:r>
        <w:rPr>
          <w:rFonts w:cs="Arial" w:ascii="Times New Roman" w:hAnsi="Times New Roman"/>
          <w:sz w:val="24"/>
        </w:rPr>
        <w:t>da</w:t>
      </w:r>
      <w:r>
        <w:rPr>
          <w:rFonts w:cs="Arial" w:ascii="Times New Roman" w:hAnsi="Times New Roman"/>
          <w:color w:themeColor="dark1" w:val="000000"/>
          <w:sz w:val="24"/>
        </w:rPr>
        <w:t xml:space="preserve"> proposta não será inferior a </w:t>
      </w:r>
      <w:r>
        <w:rPr>
          <w:rFonts w:cs="Arial" w:ascii="Times New Roman" w:hAnsi="Times New Roman"/>
          <w:color w:val="000000"/>
          <w:sz w:val="24"/>
        </w:rPr>
        <w:t>60 (sessenta</w:t>
      </w:r>
      <w:r>
        <w:rPr>
          <w:rFonts w:cs="Arial" w:ascii="Times New Roman" w:hAnsi="Times New Roman"/>
          <w:color w:themeColor="dark1" w:val="000000"/>
          <w:sz w:val="24"/>
        </w:rPr>
        <w:t>)</w:t>
      </w:r>
      <w:r>
        <w:rPr>
          <w:rFonts w:cs="Arial" w:ascii="Times New Roman" w:hAnsi="Times New Roman"/>
          <w:color w:val="000000"/>
          <w:sz w:val="24"/>
        </w:rPr>
        <w:t xml:space="preserve"> </w:t>
      </w:r>
      <w:r>
        <w:rPr>
          <w:rFonts w:cs="Arial" w:ascii="Times New Roman" w:hAnsi="Times New Roman"/>
          <w:color w:themeColor="dark1" w:val="000000"/>
          <w:sz w:val="24"/>
        </w:rPr>
        <w:t>dias</w:t>
      </w:r>
      <w:r>
        <w:rPr>
          <w:rFonts w:cs="Arial" w:ascii="Times New Roman" w:hAnsi="Times New Roman"/>
          <w:b/>
          <w:bCs/>
          <w:color w:themeColor="dark1" w:val="000000"/>
          <w:sz w:val="24"/>
        </w:rPr>
        <w:t>,</w:t>
      </w:r>
      <w:r>
        <w:rPr>
          <w:rFonts w:cs="Arial" w:ascii="Times New Roman" w:hAnsi="Times New Roman"/>
          <w:color w:themeColor="dark1" w:val="000000"/>
          <w:sz w:val="24"/>
        </w:rPr>
        <w:t xml:space="preserve"> a contar da data de sua apresentação.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No cadastramento da proposta inicial, o fornecedor deverá, também, assinalar Termo de Aceitação, em campo próprio do sistema eletrônico, relativo às seguintes declarações:</w:t>
      </w:r>
      <w:r>
        <w:rPr>
          <w:rFonts w:eastAsia="Zurich BT" w:cs="Arial" w:ascii="Times New Roman" w:hAnsi="Times New Roman"/>
          <w:color w:themeColor="dark1" w:val="000000"/>
          <w:sz w:val="24"/>
        </w:rPr>
        <w:t xml:space="preserve"> </w:t>
      </w:r>
    </w:p>
    <w:p>
      <w:pPr>
        <w:pStyle w:val="Normal"/>
        <w:spacing w:lineRule="auto" w:line="276" w:before="120" w:after="120"/>
        <w:ind w:left="425"/>
        <w:jc w:val="both"/>
        <w:rPr>
          <w:rFonts w:ascii="Times New Roman" w:hAnsi="Times New Roman"/>
          <w:sz w:val="24"/>
        </w:rPr>
      </w:pPr>
      <w:r>
        <w:rPr>
          <w:rFonts w:ascii="Times New Roman" w:hAnsi="Times New Roman"/>
          <w:sz w:val="24"/>
        </w:rPr>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está ciente e concorda com as condições contidas no Aviso de Contratação Direta e seus anexos;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se responsabiliza pelas transações que forem efetuadas no sistema, assumindo-as como firmes e verdadeiras;</w:t>
      </w:r>
    </w:p>
    <w:p>
      <w:pPr>
        <w:pStyle w:val="Normal"/>
        <w:numPr>
          <w:ilvl w:val="2"/>
          <w:numId w:val="1"/>
        </w:numPr>
        <w:spacing w:lineRule="auto" w:line="276" w:before="120" w:after="120"/>
        <w:jc w:val="both"/>
        <w:rPr/>
      </w:pPr>
      <w:r>
        <w:rPr>
          <w:rFonts w:cs="Arial" w:ascii="Times New Roman" w:hAnsi="Times New Roman"/>
          <w:color w:themeColor="dark1" w:val="000000"/>
          <w:sz w:val="24"/>
        </w:rPr>
        <w:t xml:space="preserve">que cumpre as exigências de reserva de cargos para pessoa com deficiência e para reabilitado da Previdência Social, de que trata </w:t>
      </w:r>
      <w:r>
        <w:fldChar w:fldCharType="begin"/>
      </w:r>
      <w:r>
        <w:rPr>
          <w:rStyle w:val="Hyperlink"/>
          <w:sz w:val="24"/>
          <w:rFonts w:cs="Arial" w:ascii="Times New Roman" w:hAnsi="Times New Roman"/>
        </w:rPr>
        <w:instrText xml:space="preserve"> HYPERLINK "https://www.planalto.gov.br/ccivil_03/leis/l8213cons.htm" \l "art93"</w:instrText>
      </w:r>
      <w:r>
        <w:rPr>
          <w:rStyle w:val="Hyperlink"/>
          <w:sz w:val="24"/>
          <w:rFonts w:cs="Arial" w:ascii="Times New Roman" w:hAnsi="Times New Roman"/>
        </w:rPr>
        <w:fldChar w:fldCharType="separate"/>
      </w:r>
      <w:r>
        <w:rPr>
          <w:rStyle w:val="Hyperlink"/>
          <w:rFonts w:cs="Arial" w:ascii="Times New Roman" w:hAnsi="Times New Roman"/>
          <w:sz w:val="24"/>
        </w:rPr>
        <w:t>o art. 93 da Lei nº 8.213/91</w:t>
      </w:r>
      <w:r>
        <w:rPr>
          <w:rStyle w:val="Hyperlink"/>
          <w:sz w:val="24"/>
          <w:rFonts w:cs="Arial" w:ascii="Times New Roman" w:hAnsi="Times New Roman"/>
        </w:rPr>
        <w:fldChar w:fldCharType="end"/>
      </w:r>
      <w:r>
        <w:rPr>
          <w:rFonts w:cs="Arial" w:ascii="Times New Roman" w:hAnsi="Times New Roman"/>
          <w:color w:themeColor="dark1" w:val="000000"/>
          <w:sz w:val="24"/>
        </w:rPr>
        <w:t>.</w:t>
      </w:r>
    </w:p>
    <w:p>
      <w:pPr>
        <w:pStyle w:val="Normal"/>
        <w:numPr>
          <w:ilvl w:val="2"/>
          <w:numId w:val="1"/>
        </w:numPr>
        <w:spacing w:lineRule="auto" w:line="276" w:before="120" w:after="120"/>
        <w:jc w:val="both"/>
        <w:rPr/>
      </w:pPr>
      <w:r>
        <w:rPr>
          <w:rFonts w:cs="Arial" w:ascii="Times New Roman" w:hAnsi="Times New Roman"/>
          <w:color w:themeColor="dark1" w:val="000000"/>
          <w:sz w:val="24"/>
        </w:rPr>
        <w:t xml:space="preserve">que não emprega menor de 18 anos em trabalho noturno, perigoso ou insalubre e não emprega menor de 16 anos, salvo menor, a partir de 14 anos, na condição de aprendiz, nos termos do </w:t>
      </w:r>
      <w:r>
        <w:fldChar w:fldCharType="begin"/>
      </w:r>
      <w:r>
        <w:rPr>
          <w:rStyle w:val="Hyperlink"/>
          <w:sz w:val="24"/>
          <w:rFonts w:cs="Arial" w:ascii="Times New Roman" w:hAnsi="Times New Roman"/>
        </w:rPr>
        <w:instrText xml:space="preserve"> HYPERLINK "https://normas.leg.br/?urn=urn:lex:br:federal:constituicao:1988-10-05;1988" \l "art7"</w:instrText>
      </w:r>
      <w:r>
        <w:rPr>
          <w:rStyle w:val="Hyperlink"/>
          <w:sz w:val="24"/>
          <w:rFonts w:cs="Arial" w:ascii="Times New Roman" w:hAnsi="Times New Roman"/>
        </w:rPr>
        <w:fldChar w:fldCharType="separate"/>
      </w:r>
      <w:r>
        <w:rPr>
          <w:rStyle w:val="Hyperlink"/>
          <w:rFonts w:cs="Arial" w:ascii="Times New Roman" w:hAnsi="Times New Roman"/>
          <w:sz w:val="24"/>
        </w:rPr>
        <w:t>artigo 7°, XXXIII, da Constituição</w:t>
      </w:r>
      <w:r>
        <w:rPr>
          <w:rStyle w:val="Hyperlink"/>
          <w:sz w:val="24"/>
          <w:rFonts w:cs="Arial" w:ascii="Times New Roman" w:hAnsi="Times New Roman"/>
        </w:rPr>
        <w:fldChar w:fldCharType="end"/>
      </w:r>
      <w:r>
        <w:rPr>
          <w:rFonts w:cs="Arial" w:ascii="Times New Roman" w:hAnsi="Times New Roman"/>
          <w:color w:themeColor="dark1" w:val="000000"/>
          <w:sz w:val="24"/>
        </w:rPr>
        <w:t>;</w:t>
      </w:r>
    </w:p>
    <w:p>
      <w:pPr>
        <w:pStyle w:val="Normal"/>
        <w:numPr>
          <w:ilvl w:val="1"/>
          <w:numId w:val="1"/>
        </w:numPr>
        <w:spacing w:lineRule="auto" w:line="276" w:before="120" w:after="120"/>
        <w:jc w:val="both"/>
        <w:rPr/>
      </w:pPr>
      <w:r>
        <w:rPr>
          <w:rFonts w:cs="Arial" w:ascii="Times New Roman" w:hAnsi="Times New Roman"/>
          <w:color w:themeColor="dark1" w:val="000000"/>
          <w:sz w:val="24"/>
        </w:rPr>
        <w:t xml:space="preserve">O fornecedor organizado em cooperativa deverá declarar, ainda, em campo próprio do sistema eletrônico, que cumpre os requisitos estabelecidos no </w:t>
      </w:r>
      <w:r>
        <w:fldChar w:fldCharType="begin"/>
      </w:r>
      <w:r>
        <w:rPr>
          <w:rStyle w:val="Hyperlink"/>
          <w:sz w:val="24"/>
          <w:rFonts w:cs="Arial" w:ascii="Times New Roman" w:hAnsi="Times New Roman"/>
        </w:rPr>
        <w:instrText xml:space="preserve"> HYPERLINK "http://www.planalto.gov.br/ccivil_03/_ato2019-2022/2021/lei/L14133.htm" \l "art16"</w:instrText>
      </w:r>
      <w:r>
        <w:rPr>
          <w:rStyle w:val="Hyperlink"/>
          <w:sz w:val="24"/>
          <w:rFonts w:cs="Arial" w:ascii="Times New Roman" w:hAnsi="Times New Roman"/>
        </w:rPr>
        <w:fldChar w:fldCharType="separate"/>
      </w:r>
      <w:r>
        <w:rPr>
          <w:rStyle w:val="Hyperlink"/>
          <w:rFonts w:cs="Arial" w:ascii="Times New Roman" w:hAnsi="Times New Roman"/>
          <w:sz w:val="24"/>
        </w:rPr>
        <w:t>artigo 16 da Lei nº 14.133, de 2021.</w:t>
      </w:r>
      <w:r>
        <w:rPr>
          <w:rStyle w:val="Hyperlink"/>
          <w:sz w:val="24"/>
          <w:rFonts w:cs="Arial" w:ascii="Times New Roman" w:hAnsi="Times New Roman"/>
        </w:rPr>
        <w:fldChar w:fldCharType="end"/>
      </w:r>
    </w:p>
    <w:p>
      <w:pPr>
        <w:pStyle w:val="Normal"/>
        <w:numPr>
          <w:ilvl w:val="1"/>
          <w:numId w:val="1"/>
        </w:numPr>
        <w:spacing w:lineRule="auto" w:line="276" w:before="120" w:after="120"/>
        <w:jc w:val="both"/>
        <w:rPr/>
      </w:pPr>
      <w:r>
        <w:rPr>
          <w:rFonts w:cs="Arial" w:ascii="Times New Roman" w:hAnsi="Times New Roman"/>
          <w:color w:themeColor="dark1" w:val="000000"/>
          <w:sz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Hyperlink"/>
          <w:sz w:val="24"/>
          <w:rFonts w:cs="Arial" w:ascii="Times New Roman" w:hAnsi="Times New Roman"/>
        </w:rPr>
        <w:instrText xml:space="preserve"> HYPERLINK "https://www.planalto.gov.br/ccivil_03/leis/lcp/lcp123.htm" \l "art3"</w:instrText>
      </w:r>
      <w:r>
        <w:rPr>
          <w:rStyle w:val="Hyperlink"/>
          <w:sz w:val="24"/>
          <w:rFonts w:cs="Arial" w:ascii="Times New Roman" w:hAnsi="Times New Roman"/>
        </w:rPr>
        <w:fldChar w:fldCharType="separate"/>
      </w:r>
      <w:r>
        <w:rPr>
          <w:rStyle w:val="Hyperlink"/>
          <w:rFonts w:cs="Arial" w:ascii="Times New Roman" w:hAnsi="Times New Roman"/>
          <w:sz w:val="24"/>
        </w:rPr>
        <w:t>artigo 3° da Lei Complementar nº 123, de 2006</w:t>
      </w:r>
      <w:r>
        <w:rPr>
          <w:rStyle w:val="Hyperlink"/>
          <w:sz w:val="24"/>
          <w:rFonts w:cs="Arial" w:ascii="Times New Roman" w:hAnsi="Times New Roman"/>
        </w:rPr>
        <w:fldChar w:fldCharType="end"/>
      </w:r>
      <w:r>
        <w:rPr>
          <w:rFonts w:cs="Arial" w:ascii="Times New Roman" w:hAnsi="Times New Roman"/>
          <w:color w:themeColor="dark1" w:val="000000"/>
          <w:sz w:val="24"/>
        </w:rPr>
        <w:t xml:space="preserve">, estando apto a usufruir do tratamento favorecido estabelecido em seus arts. 42 a 49, observado o disposto nos </w:t>
      </w:r>
      <w:r>
        <w:fldChar w:fldCharType="begin"/>
      </w:r>
      <w:r>
        <w:rPr>
          <w:rStyle w:val="Hyperlink"/>
          <w:sz w:val="24"/>
          <w:rFonts w:cs="Arial" w:ascii="Times New Roman" w:hAnsi="Times New Roman"/>
        </w:rPr>
        <w:instrText xml:space="preserve"> HYPERLINK "http://www.planalto.gov.br/ccivil_03/_ato2019-2022/2021/lei/L14133.htm" \l "art4§1"</w:instrText>
      </w:r>
      <w:r>
        <w:rPr>
          <w:rStyle w:val="Hyperlink"/>
          <w:sz w:val="24"/>
          <w:rFonts w:cs="Arial" w:ascii="Times New Roman" w:hAnsi="Times New Roman"/>
        </w:rPr>
        <w:fldChar w:fldCharType="separate"/>
      </w:r>
      <w:r>
        <w:rPr>
          <w:rStyle w:val="Hyperlink"/>
          <w:rFonts w:cs="Arial" w:ascii="Times New Roman" w:hAnsi="Times New Roman"/>
          <w:sz w:val="24"/>
        </w:rPr>
        <w:t>§§ 1º ao 3º do art. 4º, da Lei n.º 14.133, de 2021.</w:t>
      </w:r>
      <w:r>
        <w:rPr>
          <w:rStyle w:val="Hyperlink"/>
          <w:sz w:val="24"/>
          <w:rFonts w:cs="Arial" w:ascii="Times New Roman" w:hAnsi="Times New Roman"/>
        </w:rPr>
        <w:fldChar w:fldCharType="end"/>
      </w:r>
    </w:p>
    <w:p>
      <w:pPr>
        <w:pStyle w:val="Normal"/>
        <w:numPr>
          <w:ilvl w:val="1"/>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Desde que disponibilizada a funcionalidade no sistema, fica facultado ao fornecedor, ao cadastrar sua proposta inicial, a parametrização de valor final mínimo, com o registro do seu lance final aceitável (menor preço).</w:t>
      </w:r>
    </w:p>
    <w:p>
      <w:pPr>
        <w:pStyle w:val="Normal"/>
        <w:numPr>
          <w:ilvl w:val="2"/>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Heading1"/>
        <w:numPr>
          <w:ilvl w:val="0"/>
          <w:numId w:val="1"/>
        </w:numPr>
        <w:rPr>
          <w:rFonts w:ascii="Times New Roman" w:hAnsi="Times New Roman"/>
          <w:sz w:val="24"/>
        </w:rPr>
      </w:pPr>
      <w:bookmarkStart w:id="3" w:name="_Toc142925864"/>
      <w:r>
        <w:rPr>
          <w:rFonts w:ascii="Times New Roman" w:hAnsi="Times New Roman"/>
          <w:sz w:val="24"/>
        </w:rPr>
        <w:t>FASE DE LANCES</w:t>
      </w:r>
      <w:bookmarkEnd w:id="3"/>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 xml:space="preserve">A partir da data e horário estabelecidos neste Aviso de Contratação Direta, a sessão pública será automaticamente aberta pelo sistema para o envio de lances públicos e sucessivos, </w:t>
      </w:r>
      <w:r>
        <w:rPr>
          <w:rFonts w:cs="Arial" w:ascii="Times New Roman" w:hAnsi="Times New Roman"/>
          <w:bCs/>
          <w:sz w:val="24"/>
          <w:lang w:eastAsia="en-US"/>
        </w:rPr>
        <w:t>exclusivamente por meio do sistema eletrônico</w:t>
      </w:r>
      <w:r>
        <w:rPr>
          <w:rFonts w:cs="Arial" w:ascii="Times New Roman" w:hAnsi="Times New Roman"/>
          <w:sz w:val="24"/>
          <w:lang w:eastAsia="en-US"/>
        </w:rPr>
        <w:t xml:space="preserve">, </w:t>
      </w:r>
      <w:r>
        <w:rPr>
          <w:rFonts w:cs="Arial" w:ascii="Times New Roman" w:hAnsi="Times New Roman"/>
          <w:color w:themeColor="dark1" w:val="000000"/>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O lance </w:t>
      </w:r>
      <w:r>
        <w:rPr>
          <w:rFonts w:cs="Arial" w:ascii="Times New Roman" w:hAnsi="Times New Roman"/>
          <w:color w:themeColor="dark1" w:val="000000"/>
          <w:sz w:val="24"/>
          <w:lang w:eastAsia="en-US"/>
        </w:rPr>
        <w:t>deverá</w:t>
      </w:r>
      <w:r>
        <w:rPr>
          <w:rFonts w:cs="Arial" w:ascii="Times New Roman" w:hAnsi="Times New Roman"/>
          <w:sz w:val="24"/>
        </w:rPr>
        <w:t xml:space="preserve"> ser ofertado pelo </w:t>
      </w:r>
      <w:r>
        <w:rPr>
          <w:rFonts w:cs="Arial" w:ascii="Times New Roman" w:hAnsi="Times New Roman"/>
          <w:color w:val="000000"/>
          <w:sz w:val="24"/>
        </w:rPr>
        <w:t>valor unitário</w:t>
      </w:r>
      <w:r>
        <w:rPr>
          <w:rFonts w:cs="Arial" w:ascii="Times New Roman" w:hAnsi="Times New Roman"/>
          <w:sz w:val="24"/>
        </w:rPr>
        <w:t xml:space="preserve"> do item.</w:t>
      </w:r>
    </w:p>
    <w:p>
      <w:pPr>
        <w:pStyle w:val="Quote"/>
        <w:numPr>
          <w:ilvl w:val="1"/>
          <w:numId w:val="1"/>
        </w:numPr>
        <w:pBdr>
          <w:top w:val="nil"/>
          <w:left w:val="nil"/>
          <w:bottom w:val="nil"/>
          <w:right w:val="nil"/>
        </w:pBdr>
        <w:shd w:val="clear" w:fill="FFFFFF"/>
        <w:spacing w:lineRule="auto" w:line="276" w:before="120" w:after="120"/>
        <w:contextualSpacing/>
        <w:rPr>
          <w:rFonts w:ascii="Times New Roman" w:hAnsi="Times New Roman"/>
          <w:sz w:val="24"/>
        </w:rPr>
      </w:pPr>
      <w:r>
        <w:rPr>
          <w:rFonts w:cs="Arial" w:ascii="Times New Roman" w:hAnsi="Times New Roman"/>
          <w:i w:val="false"/>
          <w:iCs w:val="false"/>
          <w:color w:themeColor="dark1" w:val="000000"/>
          <w:sz w:val="24"/>
        </w:rPr>
        <w:t>O fornecedor somente poderá oferecer valor inferior ou percentual de desconto superior ao último lance por ele ofertado e registrado pelo sistema.</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O intervalo mínimo de diferença de valores ou percentuais entre os lances, que incidirá tanto em relação aos lances intermediários quanto em relação ao que cobrir a melhor oferta é de</w:t>
      </w:r>
      <w:r>
        <w:rPr>
          <w:rFonts w:cs="Arial" w:ascii="Times New Roman" w:hAnsi="Times New Roman"/>
          <w:i/>
          <w:iCs/>
          <w:sz w:val="24"/>
        </w:rPr>
        <w:t xml:space="preserve"> </w:t>
      </w:r>
      <w:r>
        <w:rPr>
          <w:rFonts w:cs="Arial" w:ascii="Times New Roman" w:hAnsi="Times New Roman"/>
          <w:color w:val="000000"/>
          <w:sz w:val="24"/>
        </w:rPr>
        <w:t>R$ 1,00.</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O encerramento da fase de lances ocorrerá de forma automática pontualmente no horário indicado, sem qualquer possibilidade de prorrogação e não havendo tempo aleatório ou mecanismo similar.</w:t>
      </w:r>
    </w:p>
    <w:p>
      <w:pPr>
        <w:pStyle w:val="Heading1"/>
        <w:numPr>
          <w:ilvl w:val="0"/>
          <w:numId w:val="1"/>
        </w:numPr>
        <w:rPr>
          <w:rFonts w:ascii="Times New Roman" w:hAnsi="Times New Roman"/>
          <w:sz w:val="24"/>
        </w:rPr>
      </w:pPr>
      <w:bookmarkStart w:id="4" w:name="_Toc142925865"/>
      <w:r>
        <w:rPr>
          <w:rFonts w:ascii="Times New Roman" w:hAnsi="Times New Roman"/>
          <w:sz w:val="24"/>
        </w:rPr>
        <w:t xml:space="preserve">JULGAMENTO E ACEITAÇÃO DAS PROPOSTAS </w:t>
      </w:r>
      <w:bookmarkEnd w:id="4"/>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Encerrada a fase de lances, </w:t>
      </w:r>
      <w:r>
        <w:rPr>
          <w:rFonts w:ascii="Times New Roman" w:hAnsi="Times New Roman"/>
          <w:sz w:val="24"/>
        </w:rPr>
        <w:t>quando a</w:t>
      </w:r>
      <w:r>
        <w:rPr>
          <w:rFonts w:cs="Arial" w:ascii="Times New Roman" w:hAnsi="Times New Roman"/>
          <w:sz w:val="24"/>
        </w:rPr>
        <w:t xml:space="preserve"> proposta do primeiro colocado permanecer acima do preço máximo ou abaixo do desconto definido para a contratação, o pregoeiro poderá negociar condições mais vantajosas.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A negociação poderá ser feita com os demais fornecedores classificados, </w:t>
      </w:r>
      <w:r>
        <w:rPr>
          <w:rFonts w:ascii="Times New Roman" w:hAnsi="Times New Roman"/>
          <w:sz w:val="24"/>
          <w:shd w:fill="FFFFFF" w:val="clear"/>
        </w:rPr>
        <w:t>exclusivamente por meio do sistema,</w:t>
      </w:r>
      <w:r>
        <w:rPr>
          <w:rFonts w:cs="Arial" w:ascii="Times New Roman" w:hAnsi="Times New Roman"/>
          <w:sz w:val="24"/>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Em qualquer caso, concluída a negociação, se houver, o resultado será divulgado a todos e registrado na ata do procedimento da dispensa eletrônica, </w:t>
      </w:r>
      <w:r>
        <w:rPr>
          <w:rFonts w:ascii="Times New Roman" w:hAnsi="Times New Roman"/>
          <w:sz w:val="24"/>
          <w:shd w:fill="FFFFFF" w:val="clear"/>
        </w:rPr>
        <w:t>devendo esta ser anexada aos autos do processo de contratação.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Constatada a compatibilidade entre o valor da proposta e o estipulado para a contratação, será solicitado ao fornecedor o envio d</w:t>
      </w:r>
      <w:r>
        <w:rPr>
          <w:rFonts w:ascii="Times New Roman" w:hAnsi="Times New Roman"/>
          <w:sz w:val="24"/>
        </w:rPr>
        <w:t xml:space="preserve">a proposta adequada ao último lance ofertado ou </w:t>
      </w:r>
      <w:r>
        <w:rPr>
          <w:rFonts w:cs="Arial" w:ascii="Times New Roman" w:hAnsi="Times New Roman"/>
          <w:sz w:val="24"/>
        </w:rPr>
        <w:t xml:space="preserve">ao valor negociado, se for o caso, acompanhada dos documentos complementares, quando necessários. </w:t>
      </w:r>
    </w:p>
    <w:p>
      <w:pPr>
        <w:pStyle w:val="ListParagraph"/>
        <w:spacing w:lineRule="auto" w:line="276" w:before="120" w:after="120"/>
        <w:ind w:left="1224"/>
        <w:contextualSpacing/>
        <w:jc w:val="both"/>
        <w:rPr>
          <w:rFonts w:cs="Arial"/>
          <w:i/>
          <w:i/>
          <w:iCs/>
          <w:color w:val="FF0000"/>
        </w:rPr>
      </w:pPr>
      <w:r>
        <w:rPr>
          <w:rFonts w:cs="Arial"/>
          <w:i/>
          <w:iCs/>
          <w:color w:val="FF0000"/>
        </w:rPr>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ascii="Times New Roman" w:hAnsi="Times New Roman"/>
          <w:sz w:val="24"/>
        </w:rPr>
        <w:fldChar w:fldCharType="begin"/>
      </w:r>
      <w:r>
        <w:rPr>
          <w:sz w:val="24"/>
          <w:rFonts w:cs="Arial" w:ascii="Times New Roman" w:hAnsi="Times New Roman"/>
        </w:rPr>
        <w:instrText xml:space="preserve"> REF _Ref144286315 \r \h </w:instrText>
      </w:r>
      <w:r>
        <w:rPr>
          <w:sz w:val="24"/>
          <w:rFonts w:cs="Arial" w:ascii="Times New Roman" w:hAnsi="Times New Roman"/>
        </w:rPr>
        <w:fldChar w:fldCharType="separate"/>
      </w:r>
      <w:r>
        <w:rPr>
          <w:sz w:val="24"/>
          <w:rFonts w:cs="Arial" w:ascii="Times New Roman" w:hAnsi="Times New Roman"/>
        </w:rPr>
        <w:t>2.3</w:t>
      </w:r>
      <w:r>
        <w:rPr>
          <w:sz w:val="24"/>
          <w:rFonts w:cs="Arial" w:ascii="Times New Roman" w:hAnsi="Times New Roman"/>
        </w:rPr>
        <w:fldChar w:fldCharType="end"/>
      </w:r>
      <w:r>
        <w:rPr>
          <w:rFonts w:cs="Arial" w:ascii="Times New Roman" w:hAnsi="Times New Roman"/>
          <w:sz w:val="24"/>
        </w:rPr>
        <w:t xml:space="preserve"> e seguintes deste Aviso, especialmente quanto à existência de sanção que impeça a participação </w:t>
      </w:r>
      <w:r>
        <w:rPr>
          <w:rFonts w:cs="Arial" w:ascii="Times New Roman" w:hAnsi="Times New Roman"/>
          <w:sz w:val="24"/>
          <w:lang w:eastAsia="ar-SA"/>
        </w:rPr>
        <w:t xml:space="preserve">no processo de contratação direta </w:t>
      </w:r>
      <w:r>
        <w:rPr>
          <w:rFonts w:cs="Arial" w:ascii="Times New Roman" w:hAnsi="Times New Roman"/>
          <w:sz w:val="24"/>
        </w:rPr>
        <w:t>ou a futura contratação, mediante a consulta aos seguintes cadastros:</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 xml:space="preserve">SICAF;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 xml:space="preserve">Cadastro Nacional de Empresas Inidôneas e Suspensas - CEIS, mantido pela Controladoria-Geral da União (https://www.portaltransparencia.gov.br/sancoes/ceis); e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Cadastro Nacional de Empresas Punidas – CNEP, mantido pela Controladoria-Geral da União (https://www.portaltransparencia</w:t>
      </w:r>
      <w:r>
        <w:rPr>
          <w:rFonts w:cs="Arial" w:ascii="Times New Roman" w:hAnsi="Times New Roman"/>
          <w:sz w:val="24"/>
        </w:rPr>
        <w:t xml:space="preserve">.gov.br/sancoes/cnep). </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A consulta aos cadastros será realizada em nome da empresa fornecedora e também de seu sócio majoritário, por força da vedação de que trata o artigo 12 da Lei n° 8.429, de 1992.</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A tentativa de burla será verificada por meio dos vínculos societários, linhas de fornecimento </w:t>
      </w:r>
      <w:r>
        <w:rPr>
          <w:rFonts w:cs="Arial" w:ascii="Times New Roman" w:hAnsi="Times New Roman"/>
          <w:color w:val="000000"/>
          <w:sz w:val="24"/>
        </w:rPr>
        <w:t>similares</w:t>
      </w:r>
      <w:r>
        <w:rPr>
          <w:rFonts w:cs="Arial" w:ascii="Times New Roman" w:hAnsi="Times New Roman"/>
          <w:sz w:val="24"/>
        </w:rPr>
        <w:t>, dentre outros. (IN nº 3/2018, art. 29, §1º).</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O </w:t>
      </w:r>
      <w:r>
        <w:rPr>
          <w:rFonts w:cs="Arial" w:ascii="Times New Roman" w:hAnsi="Times New Roman"/>
          <w:color w:themeColor="dark1" w:val="000000"/>
          <w:sz w:val="24"/>
        </w:rPr>
        <w:t>fornecedor</w:t>
      </w:r>
      <w:r>
        <w:rPr>
          <w:rFonts w:cs="Arial" w:ascii="Times New Roman" w:hAnsi="Times New Roman"/>
          <w:sz w:val="24"/>
        </w:rPr>
        <w:t xml:space="preserve"> </w:t>
      </w:r>
      <w:r>
        <w:rPr>
          <w:rFonts w:cs="Arial" w:ascii="Times New Roman" w:hAnsi="Times New Roman"/>
          <w:color w:val="000000"/>
          <w:sz w:val="24"/>
        </w:rPr>
        <w:t>será</w:t>
      </w:r>
      <w:r>
        <w:rPr>
          <w:rFonts w:cs="Arial" w:ascii="Times New Roman" w:hAnsi="Times New Roman"/>
          <w:sz w:val="24"/>
        </w:rPr>
        <w:t xml:space="preserve"> convocado para manifestação previamente a uma eventual desclassificação. (IN nº 3/2018, art. 29, §2º).</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Constatada a existência de sanção, o </w:t>
      </w:r>
      <w:r>
        <w:rPr>
          <w:rFonts w:cs="Arial" w:ascii="Times New Roman" w:hAnsi="Times New Roman"/>
          <w:color w:themeColor="dark1" w:val="000000"/>
          <w:sz w:val="24"/>
        </w:rPr>
        <w:t>fornecedor</w:t>
      </w:r>
      <w:r>
        <w:rPr>
          <w:rFonts w:cs="Arial" w:ascii="Times New Roman" w:hAnsi="Times New Roman"/>
          <w:sz w:val="24"/>
        </w:rPr>
        <w:t xml:space="preserve"> será reputado inabilitado, por falta de condição de participação.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contiver vícios insanáveis</w:t>
      </w:r>
      <w:r>
        <w:rPr>
          <w:rFonts w:cs="Arial" w:ascii="Times New Roman" w:hAnsi="Times New Roman"/>
          <w:iCs/>
          <w:color w:themeColor="dark1" w:val="000000"/>
          <w:sz w:val="24"/>
        </w:rPr>
        <w: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não obedecer às especificações técnicas pormenorizadas neste aviso ou em seus anexos</w:t>
      </w:r>
      <w:r>
        <w:rPr>
          <w:rFonts w:cs="Arial" w:ascii="Times New Roman" w:hAnsi="Times New Roman"/>
          <w:iCs/>
          <w:color w:themeColor="dark1" w:val="000000"/>
          <w:sz w:val="24"/>
        </w:rPr>
        <w: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apresentar preços inexequíveis</w:t>
      </w:r>
      <w:r>
        <w:rPr>
          <w:rFonts w:cs="Arial" w:ascii="Times New Roman" w:hAnsi="Times New Roman"/>
          <w:color w:val="000000"/>
          <w:sz w:val="24"/>
        </w:rPr>
        <w: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não tiver sua exequibilidade demonstrada, quando exigido pela Administração</w:t>
      </w:r>
      <w:r>
        <w:rPr>
          <w:rFonts w:cs="Arial" w:ascii="Times New Roman" w:hAnsi="Times New Roman"/>
          <w:iCs/>
          <w:color w:themeColor="dark1" w:val="000000"/>
          <w:sz w:val="24"/>
        </w:rPr>
        <w: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Quando</w:t>
      </w:r>
      <w:r>
        <w:rPr>
          <w:rFonts w:cs="Arial" w:ascii="Times New Roman" w:hAnsi="Times New Roman"/>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hanging="432" w:left="716" w:right="-15"/>
        <w:contextualSpacing/>
        <w:jc w:val="both"/>
        <w:rPr>
          <w:rFonts w:ascii="Times New Roman" w:hAnsi="Times New Roman"/>
          <w:sz w:val="24"/>
        </w:rPr>
      </w:pPr>
      <w:r>
        <w:rPr>
          <w:rFonts w:cs="Arial" w:ascii="Times New Roman" w:hAnsi="Times New Roman"/>
          <w:color w:themeColor="dark1" w:val="000000"/>
          <w:sz w:val="24"/>
          <w:lang w:eastAsia="en-US"/>
        </w:rPr>
        <w:t xml:space="preserve">Se houver indícios de inexequibilidade da proposta de preço, ou em caso da necessidade de esclarecimentos </w:t>
      </w:r>
      <w:r>
        <w:rPr>
          <w:rFonts w:cs="Arial" w:ascii="Times New Roman" w:hAnsi="Times New Roman"/>
          <w:sz w:val="24"/>
        </w:rPr>
        <w:t>complementares</w:t>
      </w:r>
      <w:r>
        <w:rPr>
          <w:rFonts w:cs="Arial" w:ascii="Times New Roman" w:hAnsi="Times New Roman"/>
          <w:color w:themeColor="dark1" w:val="000000"/>
          <w:sz w:val="24"/>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 xml:space="preserve">Erros no preenchimento da planilha não constituem motivo para a desclassificação da proposta. A planilha </w:t>
      </w:r>
      <w:r>
        <w:rPr>
          <w:rFonts w:cs="Arial" w:ascii="Times New Roman" w:hAnsi="Times New Roman"/>
          <w:sz w:val="24"/>
        </w:rPr>
        <w:t>poderá</w:t>
      </w:r>
      <w:r>
        <w:rPr>
          <w:rFonts w:cs="Arial" w:ascii="Times New Roman" w:hAnsi="Times New Roman"/>
          <w:color w:themeColor="dark1" w:val="000000"/>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Encerrada a análise quanto à aceitação da proposta, será iniciada a fase de habilitação, observado o disposto neste Aviso de Contratação Direta.</w:t>
      </w:r>
    </w:p>
    <w:p>
      <w:pPr>
        <w:pStyle w:val="Heading1"/>
        <w:numPr>
          <w:ilvl w:val="0"/>
          <w:numId w:val="1"/>
        </w:numPr>
        <w:rPr>
          <w:rFonts w:ascii="Times New Roman" w:hAnsi="Times New Roman"/>
          <w:sz w:val="24"/>
        </w:rPr>
      </w:pPr>
      <w:bookmarkStart w:id="5" w:name="_Toc142925866"/>
      <w:r>
        <w:rPr>
          <w:rFonts w:ascii="Times New Roman" w:hAnsi="Times New Roman"/>
          <w:sz w:val="24"/>
        </w:rPr>
        <w:t>HABILITAÇÃO</w:t>
      </w:r>
      <w:bookmarkEnd w:id="5"/>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lang w:eastAsia="ar-SA"/>
        </w:rPr>
        <w:t xml:space="preserve">Os </w:t>
      </w:r>
      <w:r>
        <w:rPr>
          <w:rFonts w:cs="Arial" w:ascii="Times New Roman" w:hAnsi="Times New Roman"/>
          <w:color w:val="000000"/>
          <w:sz w:val="24"/>
        </w:rPr>
        <w:t>documentos</w:t>
      </w:r>
      <w:r>
        <w:rPr>
          <w:rFonts w:cs="Arial" w:ascii="Times New Roman" w:hAnsi="Times New Roman"/>
          <w:sz w:val="24"/>
          <w:lang w:eastAsia="ar-SA"/>
        </w:rPr>
        <w:t xml:space="preserve"> a serem exigidos para fins de habilitação, </w:t>
      </w:r>
      <w:r>
        <w:rPr>
          <w:rFonts w:cs="Arial" w:ascii="Times New Roman" w:hAnsi="Times New Roman"/>
          <w:b/>
          <w:sz w:val="24"/>
          <w:lang w:eastAsia="ar-SA"/>
        </w:rPr>
        <w:t>nos termos dos arts. 62 a 70 da Lei nº 14.133, de 2021,</w:t>
      </w:r>
      <w:r>
        <w:rPr>
          <w:rFonts w:cs="Arial" w:ascii="Times New Roman" w:hAnsi="Times New Roman"/>
          <w:sz w:val="24"/>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A habilitação dos fornecedores será verificada por meio do SICAF, nos documentos por ele abrangidos</w:t>
      </w:r>
      <w:r>
        <w:rPr>
          <w:rFonts w:cs="Arial" w:ascii="Times New Roman" w:hAnsi="Times New Roman"/>
          <w:color w:themeColor="dark1" w:val="000000"/>
          <w:sz w:val="24"/>
        </w:rPr>
        <w:t>.</w:t>
      </w:r>
    </w:p>
    <w:p>
      <w:pPr>
        <w:pStyle w:val="Normal"/>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pPr>
      <w:r>
        <w:rPr>
          <w:rFonts w:cs="Arial" w:ascii="Times New Roman" w:hAnsi="Times New Roman"/>
          <w:color w:themeColor="dark1" w:val="000000"/>
          <w:sz w:val="24"/>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w:t>
      </w:r>
      <w:r>
        <w:rPr>
          <w:rFonts w:cs="Arial" w:ascii="Times New Roman" w:hAnsi="Times New Roman"/>
          <w:color w:val="000000"/>
          <w:sz w:val="24"/>
        </w:rPr>
        <w:t xml:space="preserve"> </w:t>
      </w:r>
      <w:r>
        <w:rPr>
          <w:rFonts w:cs="Arial" w:ascii="Times New Roman" w:hAnsi="Times New Roman"/>
          <w:b/>
          <w:bCs/>
          <w:color w:val="000000"/>
          <w:sz w:val="24"/>
        </w:rPr>
        <w:t>2 (duas) horas</w:t>
      </w:r>
      <w:r>
        <w:rPr>
          <w:rFonts w:cs="Arial" w:ascii="Times New Roman" w:hAnsi="Times New Roman"/>
          <w:color w:themeColor="dark1" w:val="000000"/>
          <w:sz w:val="24"/>
        </w:rPr>
        <w:t xml:space="preserve"> sob pena de inabilitação. (</w:t>
      </w:r>
      <w:r>
        <w:fldChar w:fldCharType="begin"/>
      </w:r>
      <w:r>
        <w:rPr>
          <w:rStyle w:val="Hyperlink"/>
          <w:sz w:val="24"/>
          <w:rFonts w:cs="Arial" w:ascii="Times New Roman" w:hAnsi="Times New Roman"/>
        </w:rPr>
        <w:instrText xml:space="preserve"> HYPERLINK "https://www.in.gov.br/en/web/dou/-/instrucao-normativa-seges/me-n-67-de-8-de-julho-de-2021-330985107" \l "art19§3"</w:instrText>
      </w:r>
      <w:r>
        <w:rPr>
          <w:rStyle w:val="Hyperlink"/>
          <w:sz w:val="24"/>
          <w:rFonts w:cs="Arial" w:ascii="Times New Roman" w:hAnsi="Times New Roman"/>
        </w:rPr>
        <w:fldChar w:fldCharType="separate"/>
      </w:r>
      <w:r>
        <w:rPr>
          <w:rStyle w:val="Hyperlink"/>
          <w:rFonts w:cs="Arial" w:ascii="Times New Roman" w:hAnsi="Times New Roman"/>
          <w:sz w:val="24"/>
        </w:rPr>
        <w:t>art. 19, § 3º, da IN Seges/ME nº 67, de 2021</w:t>
      </w:r>
      <w:r>
        <w:rPr>
          <w:rStyle w:val="Hyperlink"/>
          <w:sz w:val="24"/>
          <w:rFonts w:cs="Arial" w:ascii="Times New Roman" w:hAnsi="Times New Roman"/>
        </w:rPr>
        <w:fldChar w:fldCharType="end"/>
      </w:r>
      <w:r>
        <w:rPr>
          <w:rFonts w:cs="Arial" w:ascii="Times New Roman" w:hAnsi="Times New Roman"/>
          <w:color w:themeColor="dark1" w:val="000000"/>
          <w:sz w:val="24"/>
        </w:rPr>
        <w:t>).</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rFonts w:ascii="Times New Roman" w:hAnsi="Times New Roman"/>
          <w:color w:val="000000"/>
          <w:sz w:val="24"/>
        </w:rPr>
      </w:pPr>
      <w:r>
        <w:rPr>
          <w:rFonts w:cs="Arial" w:ascii="Times New Roman" w:hAnsi="Times New Roman"/>
          <w:color w:val="000000"/>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numPr>
          <w:ilvl w:val="2"/>
          <w:numId w:val="1"/>
        </w:numPr>
        <w:spacing w:lineRule="auto" w:line="276" w:before="120" w:after="120"/>
        <w:contextualSpacing/>
        <w:jc w:val="both"/>
        <w:rPr>
          <w:rFonts w:ascii="Times New Roman" w:hAnsi="Times New Roman"/>
          <w:color w:val="000000"/>
          <w:sz w:val="24"/>
        </w:rPr>
      </w:pPr>
      <w:r>
        <w:rPr>
          <w:rFonts w:cs="Arial" w:ascii="Times New Roman" w:hAnsi="Times New Roman"/>
          <w:color w:val="000000"/>
          <w:sz w:val="24"/>
        </w:rPr>
        <w:t>Não havendo a comprovação cumulativa dos requisitos de habilitação, a inabilitação recairá sobre o(s) item(ns) de menor(es) valor(es) cuja retirada(s) seja(m) suficiente(s) para a habilitação do fornecedor nos remanescentes.</w:t>
      </w:r>
    </w:p>
    <w:p>
      <w:pPr>
        <w:pStyle w:val="Normal"/>
        <w:spacing w:lineRule="auto" w:line="276" w:before="120" w:after="120"/>
        <w:ind w:left="1224"/>
        <w:contextualSpacing/>
        <w:jc w:val="both"/>
        <w:rPr>
          <w:rFonts w:ascii="Times New Roman" w:hAnsi="Times New Roman" w:cs="Arial"/>
          <w:i/>
          <w:i/>
          <w:color w:val="FF0000"/>
          <w:sz w:val="24"/>
        </w:rPr>
      </w:pPr>
      <w:r>
        <w:rPr>
          <w:rFonts w:cs="Arial" w:ascii="Times New Roman" w:hAnsi="Times New Roman"/>
          <w:i/>
          <w:color w:val="FF0000"/>
          <w:sz w:val="24"/>
        </w:rPr>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bCs/>
          <w:sz w:val="24"/>
        </w:rPr>
        <w:t xml:space="preserve">Havendo </w:t>
      </w:r>
      <w:r>
        <w:rPr>
          <w:rFonts w:cs="Arial" w:ascii="Times New Roman" w:hAnsi="Times New Roman"/>
          <w:iCs/>
          <w:sz w:val="24"/>
        </w:rPr>
        <w:t>necessidade</w:t>
      </w:r>
      <w:r>
        <w:rPr>
          <w:rFonts w:cs="Arial" w:ascii="Times New Roman" w:hAnsi="Times New Roman"/>
          <w:bCs/>
          <w:sz w:val="24"/>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 xml:space="preserve">Será inabilitado o fornecedor que não comprovar sua habilitação, seja por não apresentar </w:t>
      </w:r>
      <w:r>
        <w:rPr>
          <w:rFonts w:cs="Arial" w:ascii="Times New Roman" w:hAnsi="Times New Roman"/>
          <w:iCs/>
          <w:sz w:val="24"/>
        </w:rPr>
        <w:t>quaisquer</w:t>
      </w:r>
      <w:r>
        <w:rPr>
          <w:rFonts w:cs="Arial" w:ascii="Times New Roman" w:hAnsi="Times New Roman"/>
          <w:color w:val="000000"/>
          <w:sz w:val="24"/>
        </w:rPr>
        <w:t xml:space="preserve"> dos </w:t>
      </w:r>
      <w:r>
        <w:rPr>
          <w:rFonts w:cs="Arial" w:ascii="Times New Roman" w:hAnsi="Times New Roman"/>
          <w:bCs/>
          <w:sz w:val="24"/>
        </w:rPr>
        <w:t>documentos</w:t>
      </w:r>
      <w:r>
        <w:rPr>
          <w:rFonts w:cs="Arial" w:ascii="Times New Roman" w:hAnsi="Times New Roman"/>
          <w:color w:val="000000"/>
          <w:sz w:val="24"/>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iCs/>
          <w:sz w:val="24"/>
        </w:rPr>
        <w:t>Constatado o atendimento às exigências de habilitação, o fornecedor será habilitado.</w:t>
      </w:r>
    </w:p>
    <w:p>
      <w:pPr>
        <w:pStyle w:val="Heading1"/>
        <w:numPr>
          <w:ilvl w:val="0"/>
          <w:numId w:val="0"/>
        </w:numPr>
        <w:ind w:hanging="0" w:left="360"/>
        <w:rPr>
          <w:i/>
          <w:i/>
          <w:iCs/>
          <w:color w:val="FF0000"/>
          <w:shd w:fill="00FFFF" w:val="clear"/>
        </w:rPr>
      </w:pPr>
      <w:r>
        <w:rPr>
          <w:i/>
          <w:iCs/>
          <w:color w:val="FF0000"/>
          <w:shd w:fill="00FFFF" w:val="clear"/>
        </w:rPr>
      </w:r>
    </w:p>
    <w:p>
      <w:pPr>
        <w:pStyle w:val="Heading1"/>
        <w:numPr>
          <w:ilvl w:val="0"/>
          <w:numId w:val="1"/>
        </w:numPr>
        <w:rPr>
          <w:rFonts w:ascii="Times New Roman" w:hAnsi="Times New Roman"/>
          <w:sz w:val="24"/>
        </w:rPr>
      </w:pPr>
      <w:bookmarkStart w:id="6" w:name="_Toc142925869"/>
      <w:r>
        <w:rPr>
          <w:rFonts w:ascii="Times New Roman" w:hAnsi="Times New Roman"/>
          <w:sz w:val="24"/>
        </w:rPr>
        <w:t>CONTRATAÇÃO</w:t>
      </w:r>
      <w:bookmarkEnd w:id="6"/>
    </w:p>
    <w:p>
      <w:pPr>
        <w:pStyle w:val="Normal"/>
        <w:numPr>
          <w:ilvl w:val="1"/>
          <w:numId w:val="1"/>
        </w:numPr>
        <w:spacing w:lineRule="auto" w:line="276" w:before="120" w:after="120"/>
        <w:ind w:hanging="0" w:left="425"/>
        <w:jc w:val="both"/>
        <w:rPr>
          <w:rFonts w:ascii="Times New Roman" w:hAnsi="Times New Roman"/>
          <w:sz w:val="24"/>
        </w:rPr>
      </w:pPr>
      <w:r>
        <w:rPr>
          <w:rFonts w:eastAsia="Arial" w:cs="Arial" w:ascii="Times New Roman" w:hAnsi="Times New Roman"/>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hanging="0" w:left="425"/>
        <w:jc w:val="both"/>
        <w:rPr>
          <w:rFonts w:ascii="Times New Roman" w:hAnsi="Times New Roman"/>
          <w:sz w:val="24"/>
        </w:rPr>
      </w:pPr>
      <w:r>
        <w:rPr>
          <w:rFonts w:eastAsia="Arial" w:cs="Arial" w:ascii="Times New Roman" w:hAnsi="Times New Roman"/>
          <w:color w:val="000000"/>
          <w:sz w:val="24"/>
        </w:rPr>
        <w:t>O adjudicatário terá o prazo de 5 (cinco)</w:t>
      </w:r>
      <w:r>
        <w:rPr>
          <w:rFonts w:eastAsia="Arial" w:cs="Arial" w:ascii="Times New Roman" w:hAnsi="Times New Roman"/>
          <w:i/>
          <w:color w:val="FF0000"/>
          <w:sz w:val="24"/>
        </w:rPr>
        <w:t xml:space="preserve"> </w:t>
      </w:r>
      <w:r>
        <w:rPr>
          <w:rFonts w:eastAsia="Arial" w:cs="Arial" w:ascii="Times New Roman" w:hAnsi="Times New Roman"/>
          <w:color w:val="000000"/>
          <w:sz w:val="24"/>
        </w:rPr>
        <w:t>dias úteis</w:t>
      </w:r>
      <w:r>
        <w:rPr>
          <w:rFonts w:eastAsia="Arial" w:cs="Arial" w:ascii="Times New Roman" w:hAnsi="Times New Roman"/>
          <w:i/>
          <w:color w:val="000000"/>
          <w:sz w:val="24"/>
        </w:rPr>
        <w:t>,</w:t>
      </w:r>
      <w:r>
        <w:rPr>
          <w:rFonts w:eastAsia="Arial" w:cs="Arial" w:ascii="Times New Roman" w:hAnsi="Times New Roman"/>
          <w:color w:val="000000"/>
          <w:sz w:val="24"/>
        </w:rPr>
        <w:t xml:space="preserve"> contados a partir da data de sua convocação, para assinar o </w:t>
      </w:r>
      <w:r>
        <w:rPr>
          <w:rFonts w:eastAsia="Arial" w:cs="Arial" w:ascii="Times New Roman" w:hAnsi="Times New Roman"/>
          <w:b/>
          <w:bCs/>
          <w:color w:val="000000"/>
          <w:sz w:val="24"/>
        </w:rPr>
        <w:t>Contrato ou Nota de Empenho,</w:t>
      </w:r>
      <w:r>
        <w:rPr>
          <w:rFonts w:eastAsia="Arial" w:cs="Arial" w:ascii="Times New Roman" w:hAnsi="Times New Roman"/>
          <w:i/>
          <w:color w:val="FF0000"/>
          <w:sz w:val="24"/>
        </w:rPr>
        <w:t xml:space="preserve"> </w:t>
      </w:r>
      <w:r>
        <w:rPr>
          <w:rFonts w:eastAsia="Arial" w:cs="Arial" w:ascii="Times New Roman" w:hAnsi="Times New Roman"/>
          <w:color w:val="000000"/>
          <w:sz w:val="24"/>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rFonts w:ascii="Times New Roman" w:hAnsi="Times New Roman"/>
          <w:sz w:val="24"/>
        </w:rPr>
      </w:pPr>
      <w:r>
        <w:rPr>
          <w:rFonts w:eastAsia="Arial" w:cs="Arial" w:ascii="Times New Roman" w:hAnsi="Times New Roman"/>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ascii="Times New Roman" w:hAnsi="Times New Roman"/>
          <w:color w:val="000000"/>
          <w:sz w:val="24"/>
        </w:rPr>
        <w:t>disponibilização de acesso à sistema de processo eletrônico para esse fim ou outro</w:t>
      </w:r>
      <w:r>
        <w:rPr>
          <w:rFonts w:eastAsia="Arial" w:cs="Arial" w:ascii="Times New Roman" w:hAnsi="Times New Roman"/>
          <w:color w:val="000000"/>
          <w:sz w:val="24"/>
        </w:rPr>
        <w:t xml:space="preserve"> meio eletrônico, para que seja assinado e devolvido no prazo de </w:t>
      </w:r>
      <w:r>
        <w:rPr>
          <w:rFonts w:eastAsia="Arial" w:cs="Arial" w:ascii="Times New Roman" w:hAnsi="Times New Roman"/>
          <w:b/>
          <w:bCs/>
          <w:color w:val="000000"/>
          <w:sz w:val="24"/>
        </w:rPr>
        <w:t>5 (cinco)</w:t>
      </w:r>
      <w:r>
        <w:rPr>
          <w:rFonts w:eastAsia="Arial" w:cs="Arial" w:ascii="Times New Roman" w:hAnsi="Times New Roman"/>
          <w:b/>
          <w:bCs/>
          <w:i/>
          <w:color w:val="FF0000"/>
          <w:sz w:val="24"/>
        </w:rPr>
        <w:t xml:space="preserve"> </w:t>
      </w:r>
      <w:r>
        <w:rPr>
          <w:rFonts w:eastAsia="Arial" w:cs="Arial" w:ascii="Times New Roman" w:hAnsi="Times New Roman"/>
          <w:b/>
          <w:bCs/>
          <w:color w:val="000000"/>
          <w:sz w:val="24"/>
        </w:rPr>
        <w:t>dias úteis</w:t>
      </w:r>
      <w:r>
        <w:rPr>
          <w:rFonts w:eastAsia="Arial" w:cs="Arial" w:ascii="Times New Roman" w:hAnsi="Times New Roman"/>
          <w:color w:val="000000"/>
          <w:sz w:val="24"/>
        </w:rPr>
        <w:t>, a contar da data de seu recebimento</w:t>
      </w:r>
      <w:r>
        <w:rPr>
          <w:rFonts w:eastAsia="Arial" w:ascii="Times New Roman" w:hAnsi="Times New Roman"/>
          <w:color w:val="000000"/>
          <w:sz w:val="24"/>
        </w:rPr>
        <w:t xml:space="preserve"> ou da disponibilização do acesso ao sistema de processo eletrônico.</w:t>
      </w:r>
    </w:p>
    <w:p>
      <w:pPr>
        <w:pStyle w:val="Normal"/>
        <w:numPr>
          <w:ilvl w:val="2"/>
          <w:numId w:val="1"/>
        </w:numPr>
        <w:spacing w:lineRule="auto" w:line="276" w:before="120" w:after="120"/>
        <w:jc w:val="both"/>
        <w:rPr>
          <w:rFonts w:ascii="Times New Roman" w:hAnsi="Times New Roman"/>
          <w:sz w:val="24"/>
        </w:rPr>
      </w:pPr>
      <w:r>
        <w:rPr>
          <w:rFonts w:eastAsia="Arial" w:cs="Arial" w:ascii="Times New Roman" w:hAnsi="Times New Roman"/>
          <w:color w:val="000000"/>
          <w:sz w:val="24"/>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hanging="0" w:left="425"/>
        <w:jc w:val="both"/>
        <w:rPr>
          <w:rFonts w:ascii="Times New Roman" w:hAnsi="Times New Roman"/>
          <w:color w:val="000000"/>
          <w:sz w:val="24"/>
        </w:rPr>
      </w:pPr>
      <w:r>
        <w:rPr>
          <w:rFonts w:eastAsia="Arial" w:cs="Arial" w:ascii="Times New Roman" w:hAnsi="Times New Roman"/>
          <w:color w:val="000000"/>
          <w:sz w:val="24"/>
        </w:rPr>
        <w:t>O Aceite da Nota de Empenho ou do instrumento equivalente, emitida ao fornecedor adjudicado, implica o reconhecimento de que:</w:t>
      </w:r>
    </w:p>
    <w:p>
      <w:pPr>
        <w:pStyle w:val="Normal"/>
        <w:numPr>
          <w:ilvl w:val="2"/>
          <w:numId w:val="1"/>
        </w:numPr>
        <w:spacing w:lineRule="auto" w:line="276" w:before="120" w:after="120"/>
        <w:jc w:val="both"/>
        <w:rPr/>
      </w:pPr>
      <w:r>
        <w:rPr>
          <w:rFonts w:eastAsia="Arial" w:cs="Arial" w:ascii="Times New Roman" w:hAnsi="Times New Roman"/>
          <w:color w:val="000000"/>
          <w:sz w:val="24"/>
        </w:rPr>
        <w:t xml:space="preserve">referida Nota está substituindo o contrato, aplicando-se à relação de negócios ali estabelecida as disposições da </w:t>
      </w:r>
      <w:hyperlink r:id="rId10">
        <w:r>
          <w:rPr>
            <w:rStyle w:val="Hyperlink"/>
            <w:rFonts w:eastAsia="Arial" w:cs="Arial" w:ascii="Times New Roman" w:hAnsi="Times New Roman"/>
            <w:color w:val="000000"/>
            <w:sz w:val="24"/>
          </w:rPr>
          <w:t>Lei nº 14.133, de 2021</w:t>
        </w:r>
      </w:hyperlink>
      <w:r>
        <w:rPr>
          <w:rFonts w:eastAsia="Arial" w:cs="Arial" w:ascii="Times New Roman" w:hAnsi="Times New Roman"/>
          <w:color w:val="000000"/>
          <w:sz w:val="24"/>
        </w:rPr>
        <w:t>;</w:t>
      </w:r>
    </w:p>
    <w:p>
      <w:pPr>
        <w:pStyle w:val="Normal"/>
        <w:numPr>
          <w:ilvl w:val="2"/>
          <w:numId w:val="1"/>
        </w:numPr>
        <w:spacing w:lineRule="auto" w:line="276" w:before="120" w:after="120"/>
        <w:jc w:val="both"/>
        <w:rPr>
          <w:rFonts w:ascii="Times New Roman" w:hAnsi="Times New Roman"/>
          <w:color w:val="000000"/>
          <w:sz w:val="24"/>
        </w:rPr>
      </w:pPr>
      <w:r>
        <w:rPr>
          <w:rFonts w:eastAsia="Arial" w:cs="Arial" w:ascii="Times New Roman" w:hAnsi="Times New Roman"/>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ascii="Times New Roman" w:hAnsi="Times New Roman"/>
          <w:color w:val="000000"/>
          <w:sz w:val="24"/>
        </w:rPr>
        <w:t xml:space="preserve">a contratada reconhece que as hipóteses de rescisão são aquelas previstas nos </w:t>
      </w:r>
      <w:r>
        <w:fldChar w:fldCharType="begin"/>
      </w:r>
      <w:r>
        <w:rPr>
          <w:rStyle w:val="Hyperlink"/>
          <w:sz w:val="24"/>
          <w:rFonts w:eastAsia="Arial" w:cs="Arial" w:ascii="Times New Roman" w:hAnsi="Times New Roman"/>
          <w:color w:val="000000"/>
        </w:rPr>
        <w:instrText xml:space="preserve"> HYPERLINK "http://www.planalto.gov.br/ccivil_03/_ato2019-2022/2021/lei/L14133.htm" \l "art137"</w:instrText>
      </w:r>
      <w:r>
        <w:rPr>
          <w:rStyle w:val="Hyperlink"/>
          <w:sz w:val="24"/>
          <w:rFonts w:eastAsia="Arial" w:cs="Arial" w:ascii="Times New Roman" w:hAnsi="Times New Roman"/>
          <w:color w:val="000000"/>
        </w:rPr>
        <w:fldChar w:fldCharType="separate"/>
      </w:r>
      <w:r>
        <w:rPr>
          <w:rStyle w:val="Hyperlink"/>
          <w:rFonts w:eastAsia="Arial" w:cs="Arial" w:ascii="Times New Roman" w:hAnsi="Times New Roman"/>
          <w:color w:val="000000"/>
          <w:sz w:val="24"/>
        </w:rPr>
        <w:t>artigos 137 e 138 da Lei nº 14.133, de 2021</w:t>
      </w:r>
      <w:r>
        <w:rPr>
          <w:rStyle w:val="Hyperlink"/>
          <w:sz w:val="24"/>
          <w:rFonts w:eastAsia="Arial" w:cs="Arial" w:ascii="Times New Roman" w:hAnsi="Times New Roman"/>
          <w:color w:val="000000"/>
        </w:rPr>
        <w:fldChar w:fldCharType="end"/>
      </w:r>
      <w:r>
        <w:rPr>
          <w:rFonts w:eastAsia="Arial" w:cs="Arial" w:ascii="Times New Roman" w:hAnsi="Times New Roman"/>
          <w:color w:val="000000"/>
          <w:sz w:val="24"/>
        </w:rPr>
        <w:t xml:space="preserve"> e reconhece os direitos da Administração previstos nos </w:t>
      </w:r>
      <w:r>
        <w:fldChar w:fldCharType="begin"/>
      </w:r>
      <w:r>
        <w:rPr>
          <w:rStyle w:val="Hyperlink"/>
          <w:sz w:val="24"/>
          <w:rFonts w:eastAsia="Arial" w:cs="Arial" w:ascii="Times New Roman" w:hAnsi="Times New Roman"/>
          <w:color w:val="000000"/>
        </w:rPr>
        <w:instrText xml:space="preserve"> HYPERLINK "http://www.planalto.gov.br/ccivil_03/_ato2019-2022/2021/lei/L14133.htm" \l "art137"</w:instrText>
      </w:r>
      <w:r>
        <w:rPr>
          <w:rStyle w:val="Hyperlink"/>
          <w:sz w:val="24"/>
          <w:rFonts w:eastAsia="Arial" w:cs="Arial" w:ascii="Times New Roman" w:hAnsi="Times New Roman"/>
          <w:color w:val="000000"/>
        </w:rPr>
        <w:fldChar w:fldCharType="separate"/>
      </w:r>
      <w:r>
        <w:rPr>
          <w:rStyle w:val="Hyperlink"/>
          <w:rFonts w:eastAsia="Arial" w:cs="Arial" w:ascii="Times New Roman" w:hAnsi="Times New Roman"/>
          <w:color w:val="000000"/>
          <w:sz w:val="24"/>
        </w:rPr>
        <w:t>artigos 137 a 139 da mesma Lei</w:t>
      </w:r>
      <w:r>
        <w:rPr>
          <w:rStyle w:val="Hyperlink"/>
          <w:sz w:val="24"/>
          <w:rFonts w:eastAsia="Arial" w:cs="Arial" w:ascii="Times New Roman" w:hAnsi="Times New Roman"/>
          <w:color w:val="000000"/>
        </w:rPr>
        <w:fldChar w:fldCharType="end"/>
      </w:r>
      <w:r>
        <w:rPr>
          <w:rFonts w:eastAsia="Arial" w:cs="Arial" w:ascii="Times New Roman" w:hAnsi="Times New Roman"/>
          <w:color w:val="000000"/>
          <w:sz w:val="24"/>
        </w:rPr>
        <w:t>.</w:t>
      </w:r>
    </w:p>
    <w:p>
      <w:pPr>
        <w:pStyle w:val="Normal"/>
        <w:numPr>
          <w:ilvl w:val="1"/>
          <w:numId w:val="1"/>
        </w:numPr>
        <w:spacing w:lineRule="auto" w:line="276" w:before="120" w:after="120"/>
        <w:ind w:hanging="0" w:left="425"/>
        <w:jc w:val="both"/>
        <w:rPr>
          <w:rFonts w:ascii="Times New Roman" w:hAnsi="Times New Roman"/>
          <w:sz w:val="24"/>
        </w:rPr>
      </w:pPr>
      <w:r>
        <w:rPr>
          <w:rFonts w:eastAsia="Arial" w:cs="Arial" w:ascii="Times New Roman" w:hAnsi="Times New Roman"/>
          <w:color w:val="000000"/>
          <w:sz w:val="24"/>
        </w:rPr>
        <w:t xml:space="preserve">O prazo de vigência da contratação é o estabelecido no Termo de Referência. </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Heading1"/>
        <w:numPr>
          <w:ilvl w:val="0"/>
          <w:numId w:val="1"/>
        </w:numPr>
        <w:rPr>
          <w:rFonts w:ascii="Times New Roman" w:hAnsi="Times New Roman"/>
          <w:sz w:val="24"/>
        </w:rPr>
      </w:pPr>
      <w:bookmarkStart w:id="7" w:name="_Toc142925870"/>
      <w:r>
        <w:rPr>
          <w:rFonts w:ascii="Times New Roman" w:hAnsi="Times New Roman"/>
          <w:sz w:val="24"/>
        </w:rPr>
        <w:t>INFRAÇÕES E SANÇÕES ADMINISTRATIVAS</w:t>
      </w:r>
      <w:bookmarkEnd w:id="7"/>
    </w:p>
    <w:p>
      <w:pPr>
        <w:pStyle w:val="Normal"/>
        <w:numPr>
          <w:ilvl w:val="1"/>
          <w:numId w:val="1"/>
        </w:numPr>
        <w:spacing w:lineRule="auto" w:line="276" w:before="120" w:after="120"/>
        <w:ind w:hanging="0" w:left="425"/>
        <w:jc w:val="both"/>
        <w:rPr/>
      </w:pPr>
      <w:r>
        <w:rPr>
          <w:rFonts w:cs="Arial" w:ascii="Times New Roman" w:hAnsi="Times New Roman"/>
          <w:sz w:val="24"/>
        </w:rPr>
        <w:t xml:space="preserve">Comete infração administrativa o fornecedor que praticar quaisquer das hipóteses previstas no </w:t>
      </w:r>
      <w:r>
        <w:fldChar w:fldCharType="begin"/>
      </w:r>
      <w:r>
        <w:rPr>
          <w:rStyle w:val="Hyperlink"/>
          <w:sz w:val="24"/>
          <w:rFonts w:cs="Arial" w:ascii="Times New Roman" w:hAnsi="Times New Roman"/>
        </w:rPr>
        <w:instrText xml:space="preserve"> HYPERLINK "http://www.planalto.gov.br/ccivil_03/_ato2019-2022/2021/lei/L14133.htm" \l "art155"</w:instrText>
      </w:r>
      <w:r>
        <w:rPr>
          <w:rStyle w:val="Hyperlink"/>
          <w:sz w:val="24"/>
          <w:rFonts w:cs="Arial" w:ascii="Times New Roman" w:hAnsi="Times New Roman"/>
        </w:rPr>
        <w:fldChar w:fldCharType="separate"/>
      </w:r>
      <w:r>
        <w:rPr>
          <w:rStyle w:val="Hyperlink"/>
          <w:rFonts w:cs="Arial" w:ascii="Times New Roman" w:hAnsi="Times New Roman"/>
          <w:sz w:val="24"/>
        </w:rPr>
        <w:t>art. 155 da Lei nº 14.133, de 2021</w:t>
      </w:r>
      <w:r>
        <w:rPr>
          <w:rStyle w:val="Hyperlink"/>
          <w:sz w:val="24"/>
          <w:rFonts w:cs="Arial" w:ascii="Times New Roman" w:hAnsi="Times New Roman"/>
        </w:rPr>
        <w:fldChar w:fldCharType="end"/>
      </w:r>
      <w:r>
        <w:rPr>
          <w:rFonts w:cs="Arial" w:ascii="Times New Roman" w:hAnsi="Times New Roman"/>
          <w:sz w:val="24"/>
        </w:rPr>
        <w:t xml:space="preserve">, quais sejam: </w:t>
      </w:r>
    </w:p>
    <w:p>
      <w:pPr>
        <w:pStyle w:val="Normal"/>
        <w:numPr>
          <w:ilvl w:val="2"/>
          <w:numId w:val="1"/>
        </w:numPr>
        <w:spacing w:lineRule="auto" w:line="276" w:before="120" w:after="120"/>
        <w:jc w:val="both"/>
        <w:rPr>
          <w:rFonts w:ascii="Times New Roman" w:hAnsi="Times New Roman"/>
          <w:sz w:val="24"/>
        </w:rPr>
      </w:pPr>
      <w:bookmarkStart w:id="8" w:name="_Ref143509900"/>
      <w:r>
        <w:rPr>
          <w:rFonts w:cs="Arial" w:ascii="Times New Roman" w:hAnsi="Times New Roman"/>
          <w:color w:val="000000"/>
          <w:sz w:val="24"/>
        </w:rPr>
        <w:t>dar causa à inexecução parcial do contrato</w:t>
      </w:r>
      <w:r>
        <w:rPr>
          <w:rFonts w:cs="Arial" w:ascii="Times New Roman" w:hAnsi="Times New Roman"/>
          <w:sz w:val="24"/>
        </w:rPr>
        <w:t>;</w:t>
      </w:r>
      <w:bookmarkEnd w:id="8"/>
    </w:p>
    <w:p>
      <w:pPr>
        <w:pStyle w:val="Normal"/>
        <w:numPr>
          <w:ilvl w:val="2"/>
          <w:numId w:val="1"/>
        </w:numPr>
        <w:spacing w:lineRule="auto" w:line="276" w:before="120" w:after="120"/>
        <w:jc w:val="both"/>
        <w:rPr>
          <w:rFonts w:ascii="Times New Roman" w:hAnsi="Times New Roman"/>
          <w:sz w:val="24"/>
        </w:rPr>
      </w:pPr>
      <w:bookmarkStart w:id="9" w:name="_Ref143510015"/>
      <w:r>
        <w:rPr>
          <w:rFonts w:cs="Arial" w:ascii="Times New Roman" w:hAnsi="Times New Roman"/>
          <w:color w:val="000000"/>
          <w:sz w:val="24"/>
        </w:rPr>
        <w:t>dar causa à inexecução parcial do contrato que cause grave dano à Administração, ao funcionamento dos serviços públicos ou ao interesse coletivo;</w:t>
      </w:r>
      <w:bookmarkEnd w:id="9"/>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dar causa à inexecução total do contrato;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deixar de entregar a documentação exigida para o certame;</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Times New Roman" w:hAnsi="Times New Roman"/>
          <w:sz w:val="24"/>
        </w:rPr>
      </w:pPr>
      <w:bookmarkStart w:id="10" w:name="_Ref143510046"/>
      <w:r>
        <w:rPr>
          <w:rFonts w:cs="Arial" w:ascii="Times New Roman" w:hAnsi="Times New Roman"/>
          <w:color w:val="000000"/>
          <w:sz w:val="24"/>
        </w:rPr>
        <w:t>ensejar o retardamento da execução ou da entrega do objeto da contratação direta sem motivo justificado;</w:t>
      </w:r>
      <w:bookmarkEnd w:id="10"/>
    </w:p>
    <w:p>
      <w:pPr>
        <w:pStyle w:val="Normal"/>
        <w:numPr>
          <w:ilvl w:val="2"/>
          <w:numId w:val="1"/>
        </w:numPr>
        <w:spacing w:lineRule="auto" w:line="276" w:before="120" w:after="120"/>
        <w:jc w:val="both"/>
        <w:rPr>
          <w:rFonts w:ascii="Times New Roman" w:hAnsi="Times New Roman"/>
          <w:sz w:val="24"/>
        </w:rPr>
      </w:pPr>
      <w:bookmarkStart w:id="11" w:name="_Ref143510088"/>
      <w:r>
        <w:rPr>
          <w:rFonts w:cs="Arial" w:ascii="Times New Roman" w:hAnsi="Times New Roman"/>
          <w:color w:val="000000"/>
          <w:sz w:val="24"/>
        </w:rPr>
        <w:t>apresentar declaração ou documentação falsa exigida para o certame ou prestar declaração falsa durante a dispensa eletrônica ou a execução do contrato;</w:t>
      </w:r>
      <w:bookmarkEnd w:id="11"/>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fraudar a dispensa eletrônica ou praticar ato fraudulento na execução do contrato;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ascii="Times New Roman" w:hAnsi="Times New Roman"/>
          <w:sz w:val="24"/>
        </w:rPr>
      </w:pPr>
      <w:r>
        <w:rPr>
          <w:rFonts w:cs="Arial" w:ascii="Times New Roman" w:hAnsi="Times New Roman"/>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praticar atos ilícitos com vistas a frustrar os objetivos deste certame.</w:t>
      </w:r>
    </w:p>
    <w:p>
      <w:pPr>
        <w:pStyle w:val="Normal"/>
        <w:numPr>
          <w:ilvl w:val="2"/>
          <w:numId w:val="1"/>
        </w:numPr>
        <w:spacing w:lineRule="auto" w:line="276" w:before="120" w:after="120"/>
        <w:jc w:val="both"/>
        <w:rPr/>
      </w:pPr>
      <w:bookmarkStart w:id="12" w:name="_Ref143509952"/>
      <w:bookmarkEnd w:id="12"/>
      <w:r>
        <w:rPr>
          <w:rFonts w:cs="Arial" w:ascii="Times New Roman" w:hAnsi="Times New Roman"/>
          <w:color w:val="000000"/>
          <w:sz w:val="24"/>
        </w:rPr>
        <w:t xml:space="preserve">praticar ato lesivo previsto no </w:t>
      </w:r>
      <w:r>
        <w:fldChar w:fldCharType="begin"/>
      </w:r>
      <w:r>
        <w:rPr>
          <w:rStyle w:val="Hyperlink"/>
          <w:sz w:val="24"/>
          <w:rFonts w:ascii="Times New Roman" w:hAnsi="Times New Roman"/>
        </w:rPr>
        <w:instrText xml:space="preserve"> HYPERLINK "http://www.planalto.gov.br/ccivil_03/_ato2019-2022/2021/lei/L14133.htm" \l "art5"</w:instrText>
      </w:r>
      <w:r>
        <w:rPr>
          <w:rStyle w:val="Hyperlink"/>
          <w:sz w:val="24"/>
          <w:rFonts w:ascii="Times New Roman" w:hAnsi="Times New Roman"/>
        </w:rPr>
        <w:fldChar w:fldCharType="separate"/>
      </w:r>
      <w:r>
        <w:rPr>
          <w:rStyle w:val="Hyperlink"/>
          <w:rFonts w:ascii="Times New Roman" w:hAnsi="Times New Roman"/>
          <w:sz w:val="24"/>
        </w:rPr>
        <w:t>art. 5º da Lei nº 12.846, de 1º de agosto de 2013.</w:t>
      </w:r>
      <w:r>
        <w:rPr>
          <w:rStyle w:val="Hyperlink"/>
          <w:sz w:val="24"/>
          <w:rFonts w:ascii="Times New Roman" w:hAnsi="Times New Roman"/>
        </w:rPr>
        <w:fldChar w:fldCharType="end"/>
      </w:r>
    </w:p>
    <w:p>
      <w:pPr>
        <w:pStyle w:val="Normal"/>
        <w:numPr>
          <w:ilvl w:val="1"/>
          <w:numId w:val="1"/>
        </w:numPr>
        <w:spacing w:lineRule="auto" w:line="276" w:before="120" w:after="120"/>
        <w:ind w:hanging="0" w:left="425"/>
        <w:jc w:val="both"/>
        <w:rPr/>
      </w:pPr>
      <w:r>
        <w:fldChar w:fldCharType="begin"/>
      </w:r>
      <w:r>
        <w:rPr>
          <w:sz w:val="24"/>
          <w:rFonts w:cs="Arial" w:ascii="Times New Roman" w:hAnsi="Times New Roman"/>
        </w:rPr>
        <w:instrText xml:space="preserve"> HYPERLINK "http://www.planalto.gov.br/ccivil_03/_ato2019-2022/2021/lei/L14133.htm" \l "art5"</w:instrText>
      </w:r>
      <w:r>
        <w:rPr>
          <w:sz w:val="24"/>
          <w:rFonts w:cs="Arial" w:ascii="Times New Roman" w:hAnsi="Times New Roman"/>
        </w:rPr>
        <w:fldChar w:fldCharType="separate"/>
      </w:r>
      <w:bookmarkStart w:id="13" w:name="_Ref143509952_Copia_1"/>
      <w:bookmarkEnd w:id="13"/>
      <w:r>
        <w:rPr>
          <w:rFonts w:cs="Arial" w:ascii="Times New Roman" w:hAnsi="Times New Roman"/>
          <w:sz w:val="24"/>
        </w:rPr>
        <w:t>O fornecedor que cometer qualquer das infrações discriminadas nos subitens anteriores ficará sujeito, sem prejuízo da responsabilidade civil e criminal, às seguintes sanções:</w:t>
      </w:r>
      <w:r>
        <w:rPr>
          <w:sz w:val="24"/>
          <w:rFonts w:cs="Arial" w:ascii="Times New Roman" w:hAnsi="Times New Roman"/>
        </w:rPr>
        <w:fldChar w:fldCharType="end"/>
      </w:r>
    </w:p>
    <w:p>
      <w:pPr>
        <w:pStyle w:val="Normal"/>
        <w:numPr>
          <w:ilvl w:val="2"/>
          <w:numId w:val="4"/>
        </w:numPr>
        <w:spacing w:lineRule="auto" w:line="276" w:before="120" w:after="120"/>
        <w:jc w:val="both"/>
        <w:rPr>
          <w:rFonts w:ascii="Times New Roman" w:hAnsi="Times New Roman"/>
          <w:sz w:val="24"/>
        </w:rPr>
      </w:pPr>
      <w:r>
        <w:rPr>
          <w:rFonts w:cs="Arial" w:ascii="Times New Roman" w:hAnsi="Times New Roman"/>
          <w:sz w:val="24"/>
        </w:rPr>
        <w:t xml:space="preserve">Advertência pela falta do subitem </w:t>
      </w:r>
      <w:r>
        <w:rPr>
          <w:rFonts w:cs="Arial" w:ascii="Times New Roman" w:hAnsi="Times New Roman"/>
          <w:sz w:val="24"/>
        </w:rPr>
        <w:fldChar w:fldCharType="begin"/>
      </w:r>
      <w:r>
        <w:rPr>
          <w:sz w:val="24"/>
          <w:rFonts w:cs="Arial" w:ascii="Times New Roman" w:hAnsi="Times New Roman"/>
        </w:rPr>
        <w:instrText xml:space="preserve"> REF _Ref143509900 \r \h </w:instrText>
      </w:r>
      <w:r>
        <w:rPr>
          <w:sz w:val="24"/>
          <w:rFonts w:cs="Arial" w:ascii="Times New Roman" w:hAnsi="Times New Roman"/>
        </w:rPr>
        <w:fldChar w:fldCharType="separate"/>
      </w:r>
      <w:r>
        <w:rPr>
          <w:sz w:val="24"/>
          <w:rFonts w:cs="Arial" w:ascii="Times New Roman" w:hAnsi="Times New Roman"/>
        </w:rPr>
        <w:t>8.1.1</w:t>
      </w:r>
      <w:r>
        <w:rPr>
          <w:sz w:val="24"/>
          <w:rFonts w:cs="Arial" w:ascii="Times New Roman" w:hAnsi="Times New Roman"/>
        </w:rPr>
        <w:fldChar w:fldCharType="end"/>
      </w:r>
      <w:r>
        <w:rPr>
          <w:rFonts w:cs="Arial" w:ascii="Times New Roman" w:hAnsi="Times New Roman"/>
          <w:sz w:val="24"/>
        </w:rPr>
        <w:t xml:space="preserve"> deste Aviso de Contratação Direta,</w:t>
      </w:r>
      <w:r>
        <w:rPr>
          <w:rFonts w:ascii="Times New Roman" w:hAnsi="Times New Roman"/>
          <w:sz w:val="24"/>
        </w:rPr>
        <w:t xml:space="preserve"> </w:t>
      </w:r>
      <w:r>
        <w:rPr>
          <w:rFonts w:cs="Arial" w:ascii="Times New Roman" w:hAnsi="Times New Roman"/>
          <w:sz w:val="24"/>
        </w:rPr>
        <w:t>quando não se justificar a imposição de penalidade mais grave;</w:t>
      </w:r>
    </w:p>
    <w:p>
      <w:pPr>
        <w:pStyle w:val="Normal"/>
        <w:numPr>
          <w:ilvl w:val="2"/>
          <w:numId w:val="4"/>
        </w:numPr>
        <w:spacing w:lineRule="auto" w:line="276" w:before="120" w:after="120"/>
        <w:jc w:val="both"/>
        <w:rPr>
          <w:rFonts w:ascii="Times New Roman" w:hAnsi="Times New Roman"/>
          <w:sz w:val="24"/>
        </w:rPr>
      </w:pPr>
      <w:r>
        <w:rPr>
          <w:rFonts w:cs="Arial" w:ascii="Times New Roman" w:hAnsi="Times New Roman"/>
          <w:sz w:val="24"/>
        </w:rPr>
        <w:t xml:space="preserve">Multa de </w:t>
      </w:r>
      <w:r>
        <w:rPr>
          <w:rFonts w:eastAsia="Arial" w:cs="Arial" w:ascii="Times New Roman" w:hAnsi="Times New Roman"/>
          <w:b/>
          <w:bCs/>
          <w:color w:val="000000"/>
          <w:sz w:val="24"/>
          <w:lang w:eastAsia="ar-SA"/>
        </w:rPr>
        <w:t>10 % (dez por cento)</w:t>
      </w:r>
      <w:r>
        <w:rPr>
          <w:rFonts w:cs="Arial" w:ascii="Times New Roman" w:hAnsi="Times New Roman"/>
          <w:color w:val="FF0000"/>
          <w:sz w:val="24"/>
        </w:rPr>
        <w:t xml:space="preserve"> </w:t>
      </w:r>
      <w:r>
        <w:rPr>
          <w:rFonts w:cs="Arial" w:ascii="Times New Roman" w:hAnsi="Times New Roman"/>
          <w:sz w:val="24"/>
        </w:rPr>
        <w:t xml:space="preserve">sobre o valor estimado do(s) item(s) prejudicado(s) pela conduta do fornecedor, por qualquer das infrações dos subitens </w:t>
      </w:r>
      <w:r>
        <w:rPr>
          <w:rFonts w:cs="Arial" w:ascii="Times New Roman" w:hAnsi="Times New Roman"/>
          <w:sz w:val="24"/>
        </w:rPr>
        <w:fldChar w:fldCharType="begin"/>
      </w:r>
      <w:r>
        <w:rPr>
          <w:sz w:val="24"/>
          <w:rFonts w:cs="Arial" w:ascii="Times New Roman" w:hAnsi="Times New Roman"/>
        </w:rPr>
        <w:instrText xml:space="preserve"> REF _Ref143509900 \r \h </w:instrText>
      </w:r>
      <w:r>
        <w:rPr>
          <w:sz w:val="24"/>
          <w:rFonts w:cs="Arial" w:ascii="Times New Roman" w:hAnsi="Times New Roman"/>
        </w:rPr>
        <w:fldChar w:fldCharType="separate"/>
      </w:r>
      <w:r>
        <w:rPr>
          <w:sz w:val="24"/>
          <w:rFonts w:cs="Arial" w:ascii="Times New Roman" w:hAnsi="Times New Roman"/>
        </w:rPr>
        <w:t>8.1.1</w:t>
      </w:r>
      <w:r>
        <w:rPr>
          <w:sz w:val="24"/>
          <w:rFonts w:cs="Arial" w:ascii="Times New Roman" w:hAnsi="Times New Roman"/>
        </w:rPr>
        <w:fldChar w:fldCharType="end"/>
      </w:r>
      <w:r>
        <w:rPr>
          <w:rFonts w:cs="Arial" w:ascii="Times New Roman" w:hAnsi="Times New Roman"/>
          <w:sz w:val="24"/>
        </w:rPr>
        <w:t xml:space="preserve"> a </w:t>
      </w:r>
      <w:r>
        <w:rPr>
          <w:rFonts w:cs="Arial" w:ascii="Times New Roman" w:hAnsi="Times New Roman"/>
          <w:sz w:val="24"/>
        </w:rPr>
        <w:fldChar w:fldCharType="begin"/>
      </w:r>
      <w:r>
        <w:rPr>
          <w:sz w:val="24"/>
          <w:rFonts w:cs="Arial" w:ascii="Times New Roman" w:hAnsi="Times New Roman"/>
        </w:rPr>
        <w:instrText xml:space="preserve"> REF _Ref143509952 \r \h </w:instrText>
      </w:r>
      <w:r>
        <w:rPr>
          <w:sz w:val="24"/>
          <w:rFonts w:cs="Arial" w:ascii="Times New Roman" w:hAnsi="Times New Roman"/>
        </w:rPr>
        <w:fldChar w:fldCharType="separate"/>
      </w:r>
      <w:r>
        <w:rPr>
          <w:sz w:val="24"/>
          <w:rFonts w:cs="Arial" w:ascii="Times New Roman" w:hAnsi="Times New Roman"/>
        </w:rPr>
        <w:t>8.1.12</w:t>
      </w:r>
      <w:r>
        <w:rPr>
          <w:sz w:val="24"/>
          <w:rFonts w:cs="Arial" w:ascii="Times New Roman" w:hAnsi="Times New Roman"/>
        </w:rPr>
        <w:fldChar w:fldCharType="end"/>
      </w:r>
      <w:r>
        <w:rPr>
          <w:rFonts w:cs="Arial" w:ascii="Times New Roman" w:hAnsi="Times New Roman"/>
          <w:sz w:val="24"/>
        </w:rPr>
        <w:t>;</w:t>
      </w:r>
    </w:p>
    <w:p>
      <w:pPr>
        <w:pStyle w:val="Normal"/>
        <w:numPr>
          <w:ilvl w:val="2"/>
          <w:numId w:val="4"/>
        </w:numPr>
        <w:spacing w:lineRule="auto" w:line="276" w:before="120" w:after="120"/>
        <w:jc w:val="both"/>
        <w:rPr>
          <w:rFonts w:ascii="Times New Roman" w:hAnsi="Times New Roman"/>
          <w:sz w:val="24"/>
        </w:rPr>
      </w:pPr>
      <w:r>
        <w:rPr>
          <w:rFonts w:cs="Arial" w:ascii="Times New Roman" w:hAnsi="Times New Roman"/>
          <w:color w:val="000000"/>
          <w:sz w:val="24"/>
        </w:rPr>
        <w:t>Impedimento de licitar e contratar</w:t>
      </w:r>
      <w:r>
        <w:rPr>
          <w:rFonts w:cs="Arial" w:ascii="Times New Roman" w:hAnsi="Times New Roman"/>
          <w:sz w:val="24"/>
        </w:rPr>
        <w:t xml:space="preserve"> </w:t>
      </w:r>
      <w:r>
        <w:rPr>
          <w:rFonts w:cs="Arial" w:ascii="Times New Roman" w:hAnsi="Times New Roman"/>
          <w:color w:val="000000"/>
          <w:sz w:val="24"/>
        </w:rPr>
        <w:t xml:space="preserve">no âmbito da Administração Pública direta e indireta do ente federativo que tiver aplicado a sanção, pelo prazo máximo de 3 (três) anos, nos casos dos subitens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_Ref143510015 \r \h </w:instrText>
      </w:r>
      <w:r>
        <w:rPr>
          <w:sz w:val="24"/>
          <w:rFonts w:cs="Arial" w:ascii="Times New Roman" w:hAnsi="Times New Roman"/>
          <w:color w:val="000000"/>
        </w:rPr>
        <w:fldChar w:fldCharType="separate"/>
      </w:r>
      <w:r>
        <w:rPr>
          <w:sz w:val="24"/>
          <w:rFonts w:cs="Arial" w:ascii="Times New Roman" w:hAnsi="Times New Roman"/>
          <w:color w:val="000000"/>
        </w:rPr>
        <w:t>8.1.2</w:t>
      </w:r>
      <w:r>
        <w:rPr>
          <w:sz w:val="24"/>
          <w:rFonts w:cs="Arial" w:ascii="Times New Roman" w:hAnsi="Times New Roman"/>
          <w:color w:val="000000"/>
        </w:rPr>
        <w:fldChar w:fldCharType="end"/>
      </w:r>
      <w:r>
        <w:rPr>
          <w:rFonts w:cs="Arial" w:ascii="Times New Roman" w:hAnsi="Times New Roman"/>
          <w:color w:val="000000"/>
          <w:sz w:val="24"/>
        </w:rPr>
        <w:t xml:space="preserve">  a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_Ref143510046 \r \h </w:instrText>
      </w:r>
      <w:r>
        <w:rPr>
          <w:sz w:val="24"/>
          <w:rFonts w:cs="Arial" w:ascii="Times New Roman" w:hAnsi="Times New Roman"/>
          <w:color w:val="000000"/>
        </w:rPr>
        <w:fldChar w:fldCharType="separate"/>
      </w:r>
      <w:r>
        <w:rPr>
          <w:sz w:val="24"/>
          <w:rFonts w:cs="Arial" w:ascii="Times New Roman" w:hAnsi="Times New Roman"/>
          <w:color w:val="000000"/>
        </w:rPr>
        <w:t>8.1.7</w:t>
      </w:r>
      <w:r>
        <w:rPr>
          <w:sz w:val="24"/>
          <w:rFonts w:cs="Arial" w:ascii="Times New Roman" w:hAnsi="Times New Roman"/>
          <w:color w:val="000000"/>
        </w:rPr>
        <w:fldChar w:fldCharType="end"/>
      </w:r>
      <w:r>
        <w:rPr>
          <w:rFonts w:cs="Arial" w:ascii="Times New Roman" w:hAnsi="Times New Roman"/>
          <w:color w:val="000000"/>
          <w:sz w:val="24"/>
        </w:rPr>
        <w:t xml:space="preserve"> deste Aviso de Contratação Direta, quando não se justificar a imposição de penalidade mais grave</w:t>
      </w:r>
      <w:r>
        <w:rPr>
          <w:rFonts w:cs="Arial" w:ascii="Times New Roman" w:hAnsi="Times New Roman"/>
          <w:sz w:val="24"/>
        </w:rPr>
        <w:t>;</w:t>
      </w:r>
    </w:p>
    <w:p>
      <w:pPr>
        <w:pStyle w:val="Normal"/>
        <w:numPr>
          <w:ilvl w:val="2"/>
          <w:numId w:val="4"/>
        </w:numPr>
        <w:spacing w:lineRule="auto" w:line="276" w:before="120" w:after="120"/>
        <w:jc w:val="both"/>
        <w:rPr>
          <w:rFonts w:ascii="Times New Roman" w:hAnsi="Times New Roman"/>
          <w:sz w:val="24"/>
        </w:rPr>
      </w:pPr>
      <w:r>
        <w:rPr>
          <w:rFonts w:cs="Arial" w:ascii="Times New Roman" w:hAnsi="Times New Roman"/>
          <w:color w:val="000000"/>
          <w:sz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_Ref143510088 \r \h </w:instrText>
      </w:r>
      <w:r>
        <w:rPr>
          <w:sz w:val="24"/>
          <w:rFonts w:cs="Arial" w:ascii="Times New Roman" w:hAnsi="Times New Roman"/>
          <w:color w:val="000000"/>
        </w:rPr>
        <w:fldChar w:fldCharType="separate"/>
      </w:r>
      <w:r>
        <w:rPr>
          <w:sz w:val="24"/>
          <w:rFonts w:cs="Arial" w:ascii="Times New Roman" w:hAnsi="Times New Roman"/>
          <w:color w:val="000000"/>
        </w:rPr>
        <w:t>8.1.8</w:t>
      </w:r>
      <w:r>
        <w:rPr>
          <w:sz w:val="24"/>
          <w:rFonts w:cs="Arial" w:ascii="Times New Roman" w:hAnsi="Times New Roman"/>
          <w:color w:val="000000"/>
        </w:rPr>
        <w:fldChar w:fldCharType="end"/>
      </w:r>
      <w:r>
        <w:rPr>
          <w:rFonts w:cs="Arial" w:ascii="Times New Roman" w:hAnsi="Times New Roman"/>
          <w:color w:val="000000"/>
          <w:sz w:val="24"/>
        </w:rPr>
        <w:t xml:space="preserve"> a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_Ref143509952 \r \h </w:instrText>
      </w:r>
      <w:r>
        <w:rPr>
          <w:sz w:val="24"/>
          <w:rFonts w:cs="Arial" w:ascii="Times New Roman" w:hAnsi="Times New Roman"/>
          <w:color w:val="000000"/>
        </w:rPr>
        <w:fldChar w:fldCharType="separate"/>
      </w:r>
      <w:r>
        <w:rPr>
          <w:sz w:val="24"/>
          <w:rFonts w:cs="Arial" w:ascii="Times New Roman" w:hAnsi="Times New Roman"/>
          <w:color w:val="000000"/>
        </w:rPr>
        <w:t>8.1.12</w:t>
      </w:r>
      <w:r>
        <w:rPr>
          <w:sz w:val="24"/>
          <w:rFonts w:cs="Arial" w:ascii="Times New Roman" w:hAnsi="Times New Roman"/>
          <w:color w:val="000000"/>
        </w:rPr>
        <w:fldChar w:fldCharType="end"/>
      </w:r>
      <w:r>
        <w:rPr>
          <w:rFonts w:cs="Arial" w:ascii="Times New Roman" w:hAnsi="Times New Roman"/>
          <w:color w:val="000000"/>
          <w:sz w:val="24"/>
        </w:rPr>
        <w:t>, bem como nos demais casos que justifiquem a imposição da penalidade mais grave</w:t>
      </w:r>
      <w:r>
        <w:rPr>
          <w:rFonts w:cs="Arial" w:ascii="Times New Roman" w:hAnsi="Times New Roman"/>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A aplicação das sanções previstas neste Aviso de Contratação Direta não exclui, em hipótese alguma, a obrigação de reparação integral do dano causado à Contratante (</w:t>
      </w:r>
      <w:r>
        <w:fldChar w:fldCharType="begin"/>
      </w:r>
      <w:r>
        <w:rPr>
          <w:rStyle w:val="Hyperlink"/>
          <w:sz w:val="24"/>
          <w:bCs/>
          <w:rFonts w:cs="Arial" w:ascii="Times New Roman" w:hAnsi="Times New Roman"/>
        </w:rPr>
        <w:instrText xml:space="preserve"> HYPERLINK "http://www.planalto.gov.br/ccivil_03/_ato2019-2022/2021/lei/L14133.htm" \l "art156§9"</w:instrText>
      </w:r>
      <w:r>
        <w:rPr>
          <w:rStyle w:val="Hyperlink"/>
          <w:sz w:val="24"/>
          <w:bCs/>
          <w:rFonts w:cs="Arial" w:ascii="Times New Roman" w:hAnsi="Times New Roman"/>
        </w:rPr>
        <w:fldChar w:fldCharType="separate"/>
      </w:r>
      <w:r>
        <w:rPr>
          <w:rStyle w:val="Hyperlink"/>
          <w:rFonts w:cs="Arial" w:ascii="Times New Roman" w:hAnsi="Times New Roman"/>
          <w:bCs/>
          <w:sz w:val="24"/>
        </w:rPr>
        <w:t>art. 156, §9º</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Todas as sanções previstas neste Aviso poderão ser aplicadas cumulativamente com a multa </w:t>
      </w:r>
      <w:r>
        <w:fldChar w:fldCharType="begin"/>
      </w:r>
      <w:r>
        <w:rPr>
          <w:rStyle w:val="Hyperlink"/>
          <w:sz w:val="24"/>
          <w:bCs/>
          <w:rFonts w:cs="Arial" w:ascii="Times New Roman" w:hAnsi="Times New Roman"/>
        </w:rPr>
        <w:instrText xml:space="preserve"> HYPERLINK "http://www.planalto.gov.br/ccivil_03/_ato2019-2022/2021/lei/L14133.htm" \l "art156§7"</w:instrText>
      </w:r>
      <w:r>
        <w:rPr>
          <w:rStyle w:val="Hyperlink"/>
          <w:sz w:val="24"/>
          <w:bCs/>
          <w:rFonts w:cs="Arial" w:ascii="Times New Roman" w:hAnsi="Times New Roman"/>
        </w:rPr>
        <w:fldChar w:fldCharType="separate"/>
      </w:r>
      <w:r>
        <w:rPr>
          <w:rStyle w:val="Hyperlink"/>
          <w:rFonts w:cs="Arial" w:ascii="Times New Roman" w:hAnsi="Times New Roman"/>
          <w:bCs/>
          <w:sz w:val="24"/>
        </w:rPr>
        <w:t>(art. 156, §7º</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Antes da aplicação da multa, será facultada a defesa do interessado no prazo de 15 (quinze) dias úteis, contado da data de sua intimação (</w:t>
      </w:r>
      <w:r>
        <w:fldChar w:fldCharType="begin"/>
      </w:r>
      <w:r>
        <w:rPr>
          <w:rStyle w:val="Hyperlink"/>
          <w:sz w:val="24"/>
          <w:bCs/>
          <w:rFonts w:cs="Arial" w:ascii="Times New Roman" w:hAnsi="Times New Roman"/>
        </w:rPr>
        <w:instrText xml:space="preserve"> HYPERLINK "http://www.planalto.gov.br/ccivil_03/_ato2019-2022/2021/lei/L14133.htm" \l "art157"</w:instrText>
      </w:r>
      <w:r>
        <w:rPr>
          <w:rStyle w:val="Hyperlink"/>
          <w:sz w:val="24"/>
          <w:bCs/>
          <w:rFonts w:cs="Arial" w:ascii="Times New Roman" w:hAnsi="Times New Roman"/>
        </w:rPr>
        <w:fldChar w:fldCharType="separate"/>
      </w:r>
      <w:r>
        <w:rPr>
          <w:rStyle w:val="Hyperlink"/>
          <w:rFonts w:cs="Arial" w:ascii="Times New Roman" w:hAnsi="Times New Roman"/>
          <w:bCs/>
          <w:sz w:val="24"/>
        </w:rPr>
        <w:t>art. 157</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Hyperlink"/>
          <w:sz w:val="24"/>
          <w:bCs/>
          <w:rFonts w:cs="Arial" w:ascii="Times New Roman" w:hAnsi="Times New Roman"/>
        </w:rPr>
        <w:instrText xml:space="preserve"> HYPERLINK "http://www.planalto.gov.br/ccivil_03/_ato2019-2022/2021/lei/L14133.htm" \l "art156§8"</w:instrText>
      </w:r>
      <w:r>
        <w:rPr>
          <w:rStyle w:val="Hyperlink"/>
          <w:sz w:val="24"/>
          <w:bCs/>
          <w:rFonts w:cs="Arial" w:ascii="Times New Roman" w:hAnsi="Times New Roman"/>
        </w:rPr>
        <w:fldChar w:fldCharType="separate"/>
      </w:r>
      <w:r>
        <w:rPr>
          <w:rStyle w:val="Hyperlink"/>
          <w:rFonts w:cs="Arial" w:ascii="Times New Roman" w:hAnsi="Times New Roman"/>
          <w:bCs/>
          <w:sz w:val="24"/>
        </w:rPr>
        <w:t>art. 156, §8º</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Previamente ao encaminhamento à cobrança judicial, a multa poderá ser recolhida administrativamente no prazo máximo de</w:t>
      </w:r>
      <w:r>
        <w:rPr>
          <w:rFonts w:cs="Arial" w:ascii="Times New Roman" w:hAnsi="Times New Roman"/>
          <w:b/>
          <w:bCs/>
          <w:sz w:val="24"/>
        </w:rPr>
        <w:t xml:space="preserve"> </w:t>
      </w:r>
      <w:r>
        <w:rPr>
          <w:rFonts w:cs="Arial" w:ascii="Times New Roman" w:hAnsi="Times New Roman"/>
          <w:b/>
          <w:bCs/>
          <w:color w:val="000000"/>
          <w:sz w:val="24"/>
        </w:rPr>
        <w:t>30 (trinta)</w:t>
      </w:r>
      <w:r>
        <w:rPr>
          <w:rFonts w:cs="Arial" w:ascii="Times New Roman" w:hAnsi="Times New Roman"/>
          <w:b/>
          <w:bCs/>
          <w:i/>
          <w:iCs/>
          <w:sz w:val="24"/>
        </w:rPr>
        <w:t xml:space="preserve"> </w:t>
      </w:r>
      <w:r>
        <w:rPr>
          <w:rFonts w:cs="Arial" w:ascii="Times New Roman" w:hAnsi="Times New Roman"/>
          <w:b/>
          <w:bCs/>
          <w:sz w:val="24"/>
        </w:rPr>
        <w:t>dias</w:t>
      </w:r>
      <w:r>
        <w:rPr>
          <w:rFonts w:cs="Arial" w:ascii="Times New Roman" w:hAnsi="Times New Roman"/>
          <w:bCs/>
          <w:sz w:val="24"/>
        </w:rPr>
        <w:t>, a contar da data do recebimento da comunicação enviada pela autoridade competente.</w:t>
      </w:r>
      <w:bookmarkStart w:id="14" w:name="_Hlk78351618"/>
      <w:bookmarkEnd w:id="14"/>
    </w:p>
    <w:p>
      <w:pPr>
        <w:pStyle w:val="Normal"/>
        <w:numPr>
          <w:ilvl w:val="1"/>
          <w:numId w:val="1"/>
        </w:numPr>
        <w:spacing w:lineRule="auto" w:line="276" w:before="120" w:after="120"/>
        <w:ind w:hanging="0" w:left="425"/>
        <w:jc w:val="both"/>
        <w:rPr/>
      </w:pPr>
      <w:r>
        <w:rPr>
          <w:rFonts w:cs="Arial" w:ascii="Times New Roman" w:hAnsi="Times New Roman"/>
          <w:bCs/>
          <w:sz w:val="24"/>
        </w:rPr>
        <w:t xml:space="preserve">A aplicação das sanções realizar-se-á em processo administrativo que assegure o contraditório e a ampla defesa ao Contratado, observando-se o procedimento previsto no </w:t>
      </w:r>
      <w:r>
        <w:rPr>
          <w:rFonts w:cs="Arial" w:ascii="Times New Roman" w:hAnsi="Times New Roman"/>
          <w:b/>
          <w:bCs/>
          <w:sz w:val="24"/>
        </w:rPr>
        <w:t xml:space="preserve">caput </w:t>
      </w:r>
      <w:r>
        <w:rPr>
          <w:rFonts w:cs="Arial" w:ascii="Times New Roman" w:hAnsi="Times New Roman"/>
          <w:bCs/>
          <w:sz w:val="24"/>
        </w:rPr>
        <w:t xml:space="preserve">e parágrafos do </w:t>
      </w:r>
      <w:r>
        <w:fldChar w:fldCharType="begin"/>
      </w:r>
      <w:r>
        <w:rPr>
          <w:rStyle w:val="Hyperlink"/>
          <w:sz w:val="24"/>
          <w:bCs/>
          <w:rFonts w:cs="Arial" w:ascii="Times New Roman" w:hAnsi="Times New Roman"/>
        </w:rPr>
        <w:instrText xml:space="preserve"> HYPERLINK "http://www.planalto.gov.br/ccivil_03/_ato2019-2022/2021/lei/L14133.htm" \l "art158"</w:instrText>
      </w:r>
      <w:r>
        <w:rPr>
          <w:rStyle w:val="Hyperlink"/>
          <w:sz w:val="24"/>
          <w:bCs/>
          <w:rFonts w:cs="Arial" w:ascii="Times New Roman" w:hAnsi="Times New Roman"/>
        </w:rPr>
        <w:fldChar w:fldCharType="separate"/>
      </w:r>
      <w:r>
        <w:rPr>
          <w:rStyle w:val="Hyperlink"/>
          <w:rFonts w:cs="Arial" w:ascii="Times New Roman" w:hAnsi="Times New Roman"/>
          <w:bCs/>
          <w:sz w:val="24"/>
        </w:rPr>
        <w:t>art. 158 da Lei nº 14.133, de 2021</w:t>
      </w:r>
      <w:r>
        <w:rPr>
          <w:rStyle w:val="Hyperlink"/>
          <w:sz w:val="24"/>
          <w:bCs/>
          <w:rFonts w:cs="Arial" w:ascii="Times New Roman" w:hAnsi="Times New Roman"/>
        </w:rPr>
        <w:fldChar w:fldCharType="end"/>
      </w:r>
      <w:r>
        <w:rPr>
          <w:rFonts w:cs="Arial" w:ascii="Times New Roman" w:hAnsi="Times New Roman"/>
          <w:bCs/>
          <w:sz w:val="24"/>
        </w:rPr>
        <w:t>, para as penalidades de impedimento de licitar e contratar e de declaração de inidoneidade para licitar ou contratar.</w:t>
      </w:r>
    </w:p>
    <w:p>
      <w:pPr>
        <w:pStyle w:val="Normal"/>
        <w:numPr>
          <w:ilvl w:val="1"/>
          <w:numId w:val="1"/>
        </w:numPr>
        <w:spacing w:lineRule="auto" w:line="276" w:before="120" w:after="120"/>
        <w:ind w:hanging="0" w:left="425"/>
        <w:jc w:val="both"/>
        <w:rPr/>
      </w:pPr>
      <w:r>
        <w:rPr>
          <w:rFonts w:cs="Arial" w:ascii="Times New Roman" w:hAnsi="Times New Roman"/>
          <w:bCs/>
          <w:sz w:val="24"/>
        </w:rPr>
        <w:t>Na aplicação das sanções serão considerados (</w:t>
      </w:r>
      <w:r>
        <w:fldChar w:fldCharType="begin"/>
      </w:r>
      <w:r>
        <w:rPr>
          <w:rStyle w:val="Hyperlink"/>
          <w:sz w:val="24"/>
          <w:bCs/>
          <w:rFonts w:cs="Arial" w:ascii="Times New Roman" w:hAnsi="Times New Roman"/>
        </w:rPr>
        <w:instrText xml:space="preserve"> HYPERLINK "http://www.planalto.gov.br/ccivil_03/_ato2019-2022/2021/lei/L14133.htm" \l "art156§1"</w:instrText>
      </w:r>
      <w:r>
        <w:rPr>
          <w:rStyle w:val="Hyperlink"/>
          <w:sz w:val="24"/>
          <w:bCs/>
          <w:rFonts w:cs="Arial" w:ascii="Times New Roman" w:hAnsi="Times New Roman"/>
        </w:rPr>
        <w:fldChar w:fldCharType="separate"/>
      </w:r>
      <w:r>
        <w:rPr>
          <w:rStyle w:val="Hyperlink"/>
          <w:rFonts w:cs="Arial" w:ascii="Times New Roman" w:hAnsi="Times New Roman"/>
          <w:bCs/>
          <w:sz w:val="24"/>
        </w:rPr>
        <w:t>art. 156, §1º</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a natureza e a gravidade da infração cometida;</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as peculiaridades do caso concreto;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as circunstâncias agravantes ou atenuantes;</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os danos que dela provierem para o Contratante;</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a implantação ou o aperfeiçoamento de programa de integridade, conforme normas e orientações dos órgãos de controle.</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Os atos previstos como infrações administrativas na </w:t>
      </w:r>
      <w:hyperlink r:id="rId11">
        <w:r>
          <w:rPr>
            <w:rStyle w:val="Hyperlink"/>
            <w:rFonts w:cs="Arial" w:ascii="Times New Roman" w:hAnsi="Times New Roman"/>
            <w:bCs/>
            <w:sz w:val="24"/>
          </w:rPr>
          <w:t>Lei nº 14.133, de 2021</w:t>
        </w:r>
      </w:hyperlink>
      <w:r>
        <w:rPr>
          <w:rFonts w:cs="Arial" w:ascii="Times New Roman" w:hAnsi="Times New Roman"/>
          <w:bCs/>
          <w:sz w:val="24"/>
        </w:rPr>
        <w:t xml:space="preserve">, ou em outras leis de licitações e contratos da Administração Pública que também sejam tipificados como atos lesivos na </w:t>
      </w:r>
      <w:hyperlink r:id="rId12">
        <w:r>
          <w:rPr>
            <w:rStyle w:val="Hyperlink"/>
            <w:rFonts w:cs="Arial" w:ascii="Times New Roman" w:hAnsi="Times New Roman"/>
            <w:bCs/>
            <w:sz w:val="24"/>
          </w:rPr>
          <w:t>Lei nº 12.846, de 1º de agosto de 2013</w:t>
        </w:r>
      </w:hyperlink>
      <w:r>
        <w:rPr>
          <w:rFonts w:cs="Arial" w:ascii="Times New Roman" w:hAnsi="Times New Roman"/>
          <w:bCs/>
          <w:sz w:val="24"/>
        </w:rPr>
        <w:t>, serão apurados e julgados conjuntamente, nos mesmos autos, observados o rito procedimental e autoridade competente definidos na referida Lei (</w:t>
      </w:r>
      <w:r>
        <w:fldChar w:fldCharType="begin"/>
      </w:r>
      <w:r>
        <w:rPr>
          <w:rStyle w:val="Hyperlink"/>
          <w:sz w:val="24"/>
          <w:bCs/>
          <w:rFonts w:cs="Arial" w:ascii="Times New Roman" w:hAnsi="Times New Roman"/>
        </w:rPr>
        <w:instrText xml:space="preserve"> HYPERLINK "http://www.planalto.gov.br/ccivil_03/_ato2019-2022/2021/lei/L14133.htm" \l "art159"</w:instrText>
      </w:r>
      <w:r>
        <w:rPr>
          <w:rStyle w:val="Hyperlink"/>
          <w:sz w:val="24"/>
          <w:bCs/>
          <w:rFonts w:cs="Arial" w:ascii="Times New Roman" w:hAnsi="Times New Roman"/>
        </w:rPr>
        <w:fldChar w:fldCharType="separate"/>
      </w:r>
      <w:r>
        <w:rPr>
          <w:rStyle w:val="Hyperlink"/>
          <w:rFonts w:cs="Arial" w:ascii="Times New Roman" w:hAnsi="Times New Roman"/>
          <w:bCs/>
          <w:sz w:val="24"/>
        </w:rPr>
        <w:t>art. 159</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Hyperlink"/>
          <w:sz w:val="24"/>
          <w:bCs/>
          <w:rFonts w:cs="Arial" w:ascii="Times New Roman" w:hAnsi="Times New Roman"/>
        </w:rPr>
        <w:instrText xml:space="preserve"> HYPERLINK "http://www.planalto.gov.br/ccivil_03/_ato2019-2022/2021/lei/L14133.htm" \l "art160"</w:instrText>
      </w:r>
      <w:r>
        <w:rPr>
          <w:rStyle w:val="Hyperlink"/>
          <w:sz w:val="24"/>
          <w:bCs/>
          <w:rFonts w:cs="Arial" w:ascii="Times New Roman" w:hAnsi="Times New Roman"/>
        </w:rPr>
        <w:fldChar w:fldCharType="separate"/>
      </w:r>
      <w:r>
        <w:rPr>
          <w:rStyle w:val="Hyperlink"/>
          <w:rFonts w:cs="Arial" w:ascii="Times New Roman" w:hAnsi="Times New Roman"/>
          <w:bCs/>
          <w:sz w:val="24"/>
        </w:rPr>
        <w:t>art. 160</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 </w:t>
      </w:r>
      <w:r>
        <w:rPr>
          <w:rFonts w:cs="Arial" w:ascii="Times New Roman" w:hAnsi="Times New Roman"/>
          <w:bCs/>
          <w:sz w:val="24"/>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Hyperlink"/>
          <w:sz w:val="24"/>
          <w:bCs/>
          <w:rFonts w:cs="Arial" w:ascii="Times New Roman" w:hAnsi="Times New Roman"/>
        </w:rPr>
        <w:instrText xml:space="preserve"> HYPERLINK "http://www.planalto.gov.br/ccivil_03/_ato2019-2022/2021/lei/L14133.htm" \l "art161"</w:instrText>
      </w:r>
      <w:r>
        <w:rPr>
          <w:rStyle w:val="Hyperlink"/>
          <w:sz w:val="24"/>
          <w:bCs/>
          <w:rFonts w:cs="Arial" w:ascii="Times New Roman" w:hAnsi="Times New Roman"/>
        </w:rPr>
        <w:fldChar w:fldCharType="separate"/>
      </w:r>
      <w:r>
        <w:rPr>
          <w:rStyle w:val="Hyperlink"/>
          <w:rFonts w:cs="Arial" w:ascii="Times New Roman" w:hAnsi="Times New Roman"/>
          <w:bCs/>
          <w:sz w:val="24"/>
        </w:rPr>
        <w:t>Art. 161</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As sanções de impedimento de licitar e contratar e declaração de inidoneidade para licitar ou contratar são passíveis de reabilitação na forma do </w:t>
      </w:r>
      <w:r>
        <w:fldChar w:fldCharType="begin"/>
      </w:r>
      <w:r>
        <w:rPr>
          <w:rStyle w:val="Hyperlink"/>
          <w:sz w:val="24"/>
          <w:bCs/>
          <w:rFonts w:cs="Arial" w:ascii="Times New Roman" w:hAnsi="Times New Roman"/>
        </w:rPr>
        <w:instrText xml:space="preserve"> HYPERLINK "http://www.planalto.gov.br/ccivil_03/_ato2019-2022/2021/lei/L14133.htm" \l "art163"</w:instrText>
      </w:r>
      <w:r>
        <w:rPr>
          <w:rStyle w:val="Hyperlink"/>
          <w:sz w:val="24"/>
          <w:bCs/>
          <w:rFonts w:cs="Arial" w:ascii="Times New Roman" w:hAnsi="Times New Roman"/>
        </w:rPr>
        <w:fldChar w:fldCharType="separate"/>
      </w:r>
      <w:r>
        <w:rPr>
          <w:rStyle w:val="Hyperlink"/>
          <w:rFonts w:cs="Arial" w:ascii="Times New Roman" w:hAnsi="Times New Roman"/>
          <w:bCs/>
          <w:sz w:val="24"/>
        </w:rPr>
        <w:t>art. 163 da Lei nº 14.133, de 2021.</w:t>
      </w:r>
      <w:r>
        <w:rPr>
          <w:rStyle w:val="Hyperlink"/>
          <w:sz w:val="24"/>
          <w:bCs/>
          <w:rFonts w:cs="Arial" w:ascii="Times New Roman" w:hAnsi="Times New Roman"/>
        </w:rPr>
        <w:fldChar w:fldCharType="end"/>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As sanções por atos praticados no decorrer da contratação estão previstas nos anexos a este Aviso.</w:t>
      </w:r>
    </w:p>
    <w:p>
      <w:pPr>
        <w:pStyle w:val="Normal"/>
        <w:spacing w:lineRule="auto" w:line="276" w:before="120" w:after="120"/>
        <w:ind w:left="425"/>
        <w:jc w:val="both"/>
        <w:rPr>
          <w:rFonts w:ascii="Times New Roman" w:hAnsi="Times New Roman" w:cs="Arial"/>
          <w:sz w:val="24"/>
        </w:rPr>
      </w:pPr>
      <w:r>
        <w:rPr>
          <w:rFonts w:cs="Arial" w:ascii="Times New Roman" w:hAnsi="Times New Roman"/>
          <w:sz w:val="24"/>
        </w:rPr>
      </w:r>
    </w:p>
    <w:p>
      <w:pPr>
        <w:pStyle w:val="Heading1"/>
        <w:numPr>
          <w:ilvl w:val="0"/>
          <w:numId w:val="1"/>
        </w:numPr>
        <w:rPr>
          <w:rFonts w:ascii="Times New Roman" w:hAnsi="Times New Roman"/>
          <w:sz w:val="24"/>
        </w:rPr>
      </w:pPr>
      <w:bookmarkStart w:id="15" w:name="_Toc142925871"/>
      <w:r>
        <w:rPr>
          <w:rFonts w:ascii="Times New Roman" w:hAnsi="Times New Roman"/>
          <w:sz w:val="24"/>
        </w:rPr>
        <w:t>DAS DISPOSIÇÕES GERAIS</w:t>
      </w:r>
      <w:bookmarkEnd w:id="15"/>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Times New Roman" w:hAnsi="Times New Roman"/>
          <w:sz w:val="24"/>
        </w:rPr>
      </w:pPr>
      <w:bookmarkStart w:id="16" w:name="_Ref143510170"/>
      <w:r>
        <w:rPr>
          <w:rFonts w:cs="Arial" w:ascii="Times New Roman" w:hAnsi="Times New Roman"/>
          <w:color w:val="000000"/>
          <w:sz w:val="24"/>
        </w:rPr>
        <w:t>republicar o presente aviso com uma nova data;</w:t>
      </w:r>
      <w:bookmarkEnd w:id="16"/>
    </w:p>
    <w:p>
      <w:pPr>
        <w:pStyle w:val="Normal"/>
        <w:numPr>
          <w:ilvl w:val="2"/>
          <w:numId w:val="1"/>
        </w:numPr>
        <w:spacing w:lineRule="auto" w:line="276" w:before="120" w:after="120"/>
        <w:jc w:val="both"/>
        <w:rPr>
          <w:rFonts w:ascii="Times New Roman" w:hAnsi="Times New Roman"/>
          <w:sz w:val="24"/>
        </w:rPr>
      </w:pPr>
      <w:bookmarkStart w:id="17" w:name="_Ref143510198"/>
      <w:r>
        <w:rPr>
          <w:rFonts w:cs="Arial" w:ascii="Times New Roman" w:hAnsi="Times New Roman"/>
          <w:color w:val="000000"/>
          <w:sz w:val="24"/>
        </w:rPr>
        <w:t>valer-se, para a contratação, de proposta obtida na pesquisa de preços que serviu de base ao procedimento, se houver, privilegiando-se os menores preços, sempre que possível, e desde que atendidas às condições de habilitação exigidas.</w:t>
      </w:r>
      <w:bookmarkEnd w:id="17"/>
    </w:p>
    <w:p>
      <w:pPr>
        <w:pStyle w:val="Normal"/>
        <w:numPr>
          <w:ilvl w:val="3"/>
          <w:numId w:val="1"/>
        </w:numPr>
        <w:spacing w:lineRule="auto" w:line="276" w:before="120" w:after="120"/>
        <w:jc w:val="both"/>
        <w:rPr>
          <w:rFonts w:ascii="Times New Roman" w:hAnsi="Times New Roman"/>
          <w:sz w:val="24"/>
        </w:rPr>
      </w:pPr>
      <w:r>
        <w:rPr>
          <w:rFonts w:cs="Arial" w:ascii="Times New Roman" w:hAnsi="Times New Roman"/>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 xml:space="preserve">As providências dos subitens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_Ref143510170 \r \h </w:instrText>
      </w:r>
      <w:r>
        <w:rPr>
          <w:sz w:val="24"/>
          <w:rFonts w:cs="Arial" w:ascii="Times New Roman" w:hAnsi="Times New Roman"/>
          <w:color w:val="000000"/>
        </w:rPr>
        <w:fldChar w:fldCharType="separate"/>
      </w:r>
      <w:r>
        <w:rPr>
          <w:sz w:val="24"/>
          <w:rFonts w:cs="Arial" w:ascii="Times New Roman" w:hAnsi="Times New Roman"/>
          <w:color w:val="000000"/>
        </w:rPr>
        <w:t>9.1.1</w:t>
      </w:r>
      <w:r>
        <w:rPr>
          <w:sz w:val="24"/>
          <w:rFonts w:cs="Arial" w:ascii="Times New Roman" w:hAnsi="Times New Roman"/>
          <w:color w:val="000000"/>
        </w:rPr>
        <w:fldChar w:fldCharType="end"/>
      </w:r>
      <w:r>
        <w:rPr>
          <w:rFonts w:cs="Arial" w:ascii="Times New Roman" w:hAnsi="Times New Roman"/>
          <w:color w:val="000000"/>
          <w:sz w:val="24"/>
        </w:rPr>
        <w:t xml:space="preserve">  e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_Ref143510198 \r \h </w:instrText>
      </w:r>
      <w:r>
        <w:rPr>
          <w:sz w:val="24"/>
          <w:rFonts w:cs="Arial" w:ascii="Times New Roman" w:hAnsi="Times New Roman"/>
          <w:color w:val="000000"/>
        </w:rPr>
        <w:fldChar w:fldCharType="separate"/>
      </w:r>
      <w:r>
        <w:rPr>
          <w:sz w:val="24"/>
          <w:rFonts w:cs="Arial" w:ascii="Times New Roman" w:hAnsi="Times New Roman"/>
          <w:color w:val="000000"/>
        </w:rPr>
        <w:t>9.1.2</w:t>
      </w:r>
      <w:r>
        <w:rPr>
          <w:sz w:val="24"/>
          <w:rFonts w:cs="Arial" w:ascii="Times New Roman" w:hAnsi="Times New Roman"/>
          <w:color w:val="000000"/>
        </w:rPr>
        <w:fldChar w:fldCharType="end"/>
      </w:r>
      <w:r>
        <w:rPr>
          <w:rFonts w:cs="Arial" w:ascii="Times New Roman" w:hAnsi="Times New Roman"/>
          <w:color w:val="000000"/>
          <w:sz w:val="24"/>
        </w:rPr>
        <w:t xml:space="preserve"> também poderão ser utilizadas se não houver o comparecimento de quaisquer fornecedores interessados (procedimento deserto).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Da sessão pública será divulgada Ata no sistema eletrônico.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ANEXO I –  Termo de Referência</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ANEXO II- Modelos</w:t>
      </w:r>
    </w:p>
    <w:p>
      <w:pPr>
        <w:pStyle w:val="Normal"/>
        <w:spacing w:lineRule="auto" w:line="276" w:before="120" w:after="120"/>
        <w:jc w:val="both"/>
        <w:rPr>
          <w:rFonts w:ascii="Times New Roman" w:hAnsi="Times New Roman"/>
          <w:sz w:val="24"/>
        </w:rPr>
      </w:pPr>
      <w:r>
        <w:rPr>
          <w:rFonts w:ascii="Times New Roman" w:hAnsi="Times New Roman"/>
          <w:sz w:val="24"/>
        </w:rPr>
      </w:r>
    </w:p>
    <w:p>
      <w:pPr>
        <w:pStyle w:val="Normal"/>
        <w:spacing w:lineRule="auto" w:line="276" w:before="0" w:after="120"/>
        <w:ind w:left="360" w:right="-15"/>
        <w:jc w:val="both"/>
        <w:rPr>
          <w:rFonts w:ascii="Times New Roman" w:hAnsi="Times New Roman" w:cs="Arial"/>
          <w:color w:val="000000"/>
          <w:sz w:val="24"/>
        </w:rPr>
      </w:pPr>
      <w:r>
        <w:rPr>
          <w:rFonts w:cs="Arial" w:ascii="Times New Roman" w:hAnsi="Times New Roman"/>
          <w:color w:val="000000"/>
          <w:sz w:val="24"/>
        </w:rPr>
      </w:r>
    </w:p>
    <w:p>
      <w:pPr>
        <w:pStyle w:val="BodyText"/>
        <w:shd w:val="clear" w:fill="FFFFFF"/>
        <w:spacing w:before="120" w:after="120"/>
        <w:ind w:left="360" w:right="-15"/>
        <w:jc w:val="right"/>
        <w:rPr>
          <w:rFonts w:ascii="Times New Roman;serif" w:hAnsi="Times New Roman;serif" w:cs="Arial"/>
          <w:color w:val="000000"/>
          <w:sz w:val="22"/>
        </w:rPr>
      </w:pPr>
      <w:r>
        <w:rPr>
          <w:rFonts w:cs="Arial" w:ascii="Times New Roman;serif" w:hAnsi="Times New Roman;serif"/>
          <w:color w:val="000000"/>
          <w:sz w:val="22"/>
        </w:rPr>
        <w:t xml:space="preserve">Imperatriz, ma, </w:t>
      </w:r>
      <w:r>
        <w:rPr>
          <w:rFonts w:cs="Arial" w:ascii="Times New Roman;serif" w:hAnsi="Times New Roman;serif"/>
          <w:color w:val="000000"/>
          <w:sz w:val="22"/>
        </w:rPr>
        <w:t>04</w:t>
      </w:r>
      <w:r>
        <w:rPr>
          <w:rFonts w:cs="Arial" w:ascii="Times New Roman;serif" w:hAnsi="Times New Roman;serif"/>
          <w:color w:val="000000"/>
          <w:sz w:val="22"/>
        </w:rPr>
        <w:t xml:space="preserve"> de </w:t>
      </w:r>
      <w:r>
        <w:rPr>
          <w:rFonts w:cs="Arial" w:ascii="Times New Roman;serif" w:hAnsi="Times New Roman;serif"/>
          <w:color w:val="000000"/>
          <w:sz w:val="22"/>
        </w:rPr>
        <w:t>abril</w:t>
      </w:r>
      <w:r>
        <w:rPr>
          <w:rFonts w:cs="Arial" w:ascii="Times New Roman;serif" w:hAnsi="Times New Roman;serif"/>
          <w:color w:val="000000"/>
          <w:sz w:val="22"/>
        </w:rPr>
        <w:t xml:space="preserve"> de 2025</w:t>
      </w:r>
    </w:p>
    <w:p>
      <w:pPr>
        <w:pStyle w:val="BodyText"/>
        <w:spacing w:lineRule="auto" w:line="360"/>
        <w:jc w:val="both"/>
        <w:rPr/>
      </w:pPr>
      <w:r>
        <w:rPr/>
      </w:r>
    </w:p>
    <w:p>
      <w:pPr>
        <w:pStyle w:val="BodyText"/>
        <w:spacing w:lineRule="auto" w:line="360"/>
        <w:jc w:val="both"/>
        <w:rPr/>
      </w:pPr>
      <w:r>
        <w:rPr/>
      </w:r>
    </w:p>
    <w:p>
      <w:pPr>
        <w:pStyle w:val="Contedodatabela3"/>
        <w:jc w:val="center"/>
        <w:rPr>
          <w:rFonts w:ascii="Times New Roman" w:hAnsi="Times New Roman" w:cs="Times New Roman"/>
          <w:b/>
          <w:bCs/>
          <w:sz w:val="22"/>
          <w:szCs w:val="22"/>
        </w:rPr>
      </w:pPr>
      <w:r>
        <w:rPr>
          <w:rFonts w:cs="Times New Roman" w:ascii="Times New Roman" w:hAnsi="Times New Roman"/>
          <w:b/>
          <w:bCs/>
          <w:sz w:val="22"/>
          <w:szCs w:val="22"/>
        </w:rPr>
        <w:t>CARLOS HENRIQUE LEITE DE SOUZA – Ten Cel</w:t>
      </w:r>
    </w:p>
    <w:p>
      <w:pPr>
        <w:pStyle w:val="BodyText"/>
        <w:spacing w:lineRule="auto" w:line="240" w:before="0" w:after="0"/>
        <w:jc w:val="center"/>
        <w:rPr>
          <w:rFonts w:ascii="Times New Roman;serif" w:hAnsi="Times New Roman;serif"/>
          <w:sz w:val="22"/>
        </w:rPr>
      </w:pPr>
      <w:r>
        <w:rPr>
          <w:rFonts w:ascii="Times New Roman;serif" w:hAnsi="Times New Roman;serif"/>
          <w:color w:val="000000"/>
          <w:sz w:val="22"/>
        </w:rPr>
        <w:t>Ordenador de Despesas do 50º BIS</w:t>
      </w:r>
    </w:p>
    <w:p>
      <w:pPr>
        <w:pStyle w:val="Normal"/>
        <w:rPr>
          <w:rFonts w:ascii="Times New Roman" w:hAnsi="Times New Roman"/>
          <w:sz w:val="24"/>
        </w:rPr>
      </w:pPr>
      <w:r>
        <w:rPr>
          <w:rFonts w:ascii="Times New Roman" w:hAnsi="Times New Roman"/>
          <w:sz w:val="24"/>
        </w:rPr>
      </w:r>
    </w:p>
    <w:sectPr>
      <w:headerReference w:type="default" r:id="rId13"/>
      <w:headerReference w:type="first" r:id="rId14"/>
      <w:footerReference w:type="default" r:id="rId15"/>
      <w:footerReference w:type="first" r:id="rId16"/>
      <w:type w:val="nextPage"/>
      <w:pgSz w:w="11906" w:h="16838"/>
      <w:pgMar w:left="1134" w:right="850" w:gutter="0" w:header="680" w:top="1304" w:footer="0" w:bottom="680"/>
      <w:pgNumType w:fmt="decimal"/>
      <w:formProt w:val="false"/>
      <w:textDirection w:val="lrTb"/>
      <w:docGrid w:type="default" w:linePitch="36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swiss"/>
    <w:pitch w:val="variable"/>
  </w:font>
  <w:font w:name="Cambria">
    <w:charset w:val="00"/>
    <w:family w:val="roman"/>
    <w:pitch w:val="variable"/>
  </w:font>
  <w:font w:name="Calibri Light">
    <w:charset w:val="00"/>
    <w:family w:val="roman"/>
    <w:pitch w:val="variable"/>
  </w:font>
  <w:font w:name="Times New Roman">
    <w:altName w:val="serif"/>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2"/>
        <w:szCs w:val="12"/>
      </w:rPr>
    </w:pPr>
    <w:r>
      <w:rPr>
        <w:sz w:val="12"/>
        <w:szCs w:val="12"/>
      </w:rPr>
    </w:r>
  </w:p>
  <w:p>
    <w:pPr>
      <w:pStyle w:val="Normal"/>
      <w:tabs>
        <w:tab w:val="clear" w:pos="708"/>
        <w:tab w:val="center" w:pos="4550" w:leader="none"/>
        <w:tab w:val="left" w:pos="5818" w:leader="none"/>
      </w:tabs>
      <w:ind w:right="260"/>
      <w:jc w:val="right"/>
      <w:rPr>
        <w:color w:themeColor="dark2" w:themeShade="80" w:val="222A35"/>
        <w:sz w:val="18"/>
        <w:szCs w:val="18"/>
      </w:rPr>
    </w:pPr>
    <w:r>
      <w:rPr>
        <w:color w:themeColor="dark2" w:themeTint="99" w:val="8496B0"/>
        <w:spacing w:val="60"/>
        <w:sz w:val="18"/>
        <w:szCs w:val="18"/>
      </w:rPr>
      <w:t>Página</w:t>
    </w:r>
    <w:r>
      <w:rPr>
        <w:color w:themeColor="dark2" w:themeTint="99" w:val="8496B0"/>
        <w:sz w:val="18"/>
        <w:szCs w:val="18"/>
      </w:rPr>
      <w:t xml:space="preserve"> </w:t>
    </w:r>
    <w:r>
      <w:rPr>
        <w:color w:themeColor="dark2" w:themeShade="bf" w:val="323E4F"/>
        <w:sz w:val="18"/>
        <w:szCs w:val="18"/>
      </w:rPr>
      <w:fldChar w:fldCharType="begin"/>
    </w:r>
    <w:r>
      <w:rPr>
        <w:sz w:val="18"/>
        <w:szCs w:val="18"/>
        <w:color w:themeColor="dark2" w:themeShade="bf" w:val="323E4F"/>
      </w:rPr>
      <w:instrText xml:space="preserve"> PAGE </w:instrText>
    </w:r>
    <w:r>
      <w:rPr>
        <w:sz w:val="18"/>
        <w:szCs w:val="18"/>
        <w:color w:themeColor="dark2" w:themeShade="bf" w:val="323E4F"/>
      </w:rPr>
      <w:fldChar w:fldCharType="separate"/>
    </w:r>
    <w:r>
      <w:rPr>
        <w:sz w:val="18"/>
        <w:szCs w:val="18"/>
        <w:color w:themeColor="dark2" w:themeShade="bf" w:val="323E4F"/>
      </w:rPr>
      <w:t>2</w:t>
    </w:r>
    <w:r>
      <w:rPr>
        <w:sz w:val="18"/>
        <w:szCs w:val="18"/>
        <w:color w:themeColor="dark2" w:themeShade="bf" w:val="323E4F"/>
      </w:rPr>
      <w:fldChar w:fldCharType="end"/>
    </w:r>
    <w:r>
      <w:rPr>
        <w:color w:themeColor="dark2" w:themeShade="bf" w:val="323E4F"/>
        <w:sz w:val="18"/>
        <w:szCs w:val="18"/>
      </w:rPr>
      <w:t xml:space="preserve"> | </w:t>
    </w:r>
    <w:r>
      <w:rPr>
        <w:color w:themeColor="dark2" w:themeShade="bf" w:val="323E4F"/>
        <w:sz w:val="18"/>
        <w:szCs w:val="18"/>
      </w:rPr>
      <w:fldChar w:fldCharType="begin"/>
    </w:r>
    <w:r>
      <w:rPr>
        <w:sz w:val="18"/>
        <w:szCs w:val="18"/>
        <w:color w:themeColor="dark2" w:themeShade="bf" w:val="323E4F"/>
      </w:rPr>
      <w:instrText xml:space="preserve"> NUMPAGES </w:instrText>
    </w:r>
    <w:r>
      <w:rPr>
        <w:sz w:val="18"/>
        <w:szCs w:val="18"/>
        <w:color w:themeColor="dark2" w:themeShade="bf" w:val="323E4F"/>
      </w:rPr>
      <w:fldChar w:fldCharType="separate"/>
    </w:r>
    <w:r>
      <w:rPr>
        <w:sz w:val="18"/>
        <w:szCs w:val="18"/>
        <w:color w:themeColor="dark2" w:themeShade="bf" w:val="323E4F"/>
      </w:rPr>
      <w:t>15</w:t>
    </w:r>
    <w:r>
      <w:rPr>
        <w:sz w:val="18"/>
        <w:szCs w:val="18"/>
        <w:color w:themeColor="dark2" w:themeShade="bf" w:val="323E4F"/>
      </w:rPr>
      <w:fldChar w:fldCharType="end"/>
    </w:r>
  </w:p>
  <w:p>
    <w:pPr>
      <w:pStyle w:val="Footer"/>
      <w:rPr>
        <w:sz w:val="12"/>
        <w:szCs w:val="12"/>
      </w:rPr>
    </w:pPr>
    <w:r>
      <w:rPr>
        <w:sz w:val="12"/>
        <w:szCs w:val="12"/>
      </w:rPr>
    </w:r>
  </w:p>
  <w:p>
    <w:pPr>
      <w:pStyle w:val="Footer"/>
      <w:rPr>
        <w:sz w:val="12"/>
        <w:szCs w:val="12"/>
      </w:rPr>
    </w:pPr>
    <w:r>
      <w:rPr>
        <w:sz w:val="12"/>
        <w:szCs w:val="12"/>
      </w:rPr>
      <w:t>Câmara Nacional de Modelos de Licitações e Contratos – CNMLC/CGU/AGU</w:t>
    </w:r>
  </w:p>
  <w:p>
    <w:pPr>
      <w:pStyle w:val="Footer"/>
      <w:rPr>
        <w:sz w:val="12"/>
        <w:szCs w:val="12"/>
      </w:rPr>
    </w:pPr>
    <w:r>
      <w:rPr>
        <w:sz w:val="12"/>
        <w:szCs w:val="12"/>
      </w:rPr>
      <w:t>Aviso de Contratação Direta – Lei nº 14.133/21 e IN SEGES/ME nº 67/2021</w:t>
    </w:r>
  </w:p>
  <w:p>
    <w:pPr>
      <w:pStyle w:val="Footer"/>
      <w:rPr>
        <w:sz w:val="12"/>
        <w:szCs w:val="12"/>
      </w:rPr>
    </w:pPr>
    <w:r>
      <w:rPr>
        <w:sz w:val="12"/>
        <w:szCs w:val="12"/>
      </w:rPr>
      <w:t>Versão: agosto/2023</w:t>
    </w:r>
  </w:p>
  <w:p>
    <w:pPr>
      <w:pStyle w:val="Footer"/>
      <w:rPr>
        <w:sz w:val="12"/>
        <w:szCs w:val="12"/>
      </w:rPr>
    </w:pPr>
    <w:r>
      <w:rPr>
        <w:sz w:val="12"/>
        <w:szCs w:val="12"/>
      </w:rPr>
      <w:t>Aprovado pela Secretaria de Gestão.</w:t>
    </w:r>
  </w:p>
  <w:p>
    <w:pPr>
      <w:pStyle w:val="Footer"/>
      <w:rPr>
        <w:sz w:val="12"/>
        <w:szCs w:val="12"/>
      </w:rPr>
    </w:pPr>
    <w:r>
      <w:rPr>
        <w:sz w:val="12"/>
        <w:szCs w:val="12"/>
      </w:rPr>
      <w:t>Identidade visual pela Secretaria de Gestão (versão agosto/2023)</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rPr/>
    </w:pPr>
    <w:r>
      <w:rPr/>
    </w:r>
  </w:p>
  <w:p>
    <w:pPr>
      <w:pStyle w:val="Normal"/>
      <w:jc w:val="right"/>
      <w:rPr>
        <w:rFonts w:cs="Arial"/>
        <w:b/>
        <w:bCs/>
        <w:color w:val="5B5B5F"/>
        <w:sz w:val="28"/>
        <w:szCs w:val="28"/>
      </w:rPr>
    </w:pPr>
    <w:r>
      <w:rPr/>
      <w:t>AVISO DE DISPENSA ELETRÔNICA Nº 90.005/2024</w:t>
    </w:r>
  </w:p>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2">
          <wp:simplePos x="0" y="0"/>
          <wp:positionH relativeFrom="column">
            <wp:posOffset>-1080135</wp:posOffset>
          </wp:positionH>
          <wp:positionV relativeFrom="paragraph">
            <wp:posOffset>635</wp:posOffset>
          </wp:positionV>
          <wp:extent cx="7560310" cy="10692765"/>
          <wp:effectExtent l="0" t="0" r="0" b="0"/>
          <wp:wrapNone/>
          <wp:docPr id="1" name="Imagem 8" descr="Texto&#10;&#10;Descrição gerada automaticamente com confiança média">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a:hlinkClick r:id="rId2"/>
                  </pic:cNvPr>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i w:val="false"/>
        <w:b w:val="false"/>
        <w:iCs/>
      </w:rPr>
    </w:lvl>
    <w:lvl w:ilvl="2">
      <w:start w:val="1"/>
      <w:numFmt w:val="decimal"/>
      <w:lvlText w:val="%1.%2.%3."/>
      <w:lvlJc w:val="left"/>
      <w:pPr>
        <w:tabs>
          <w:tab w:val="num" w:pos="0"/>
        </w:tabs>
        <w:ind w:left="1224" w:hanging="504"/>
      </w:pPr>
      <w:rPr>
        <w:i w:val="false"/>
        <w:b w:val="false"/>
        <w:iCs/>
        <w:rFonts w:ascii="Times New Roman" w:hAnsi="Times New Roman"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1"/>
  <w:defaultTabStop w:val="708"/>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Arial" w:hAnsi="Arial" w:eastAsia="Times New Roman" w:cs="Tahoma"/>
      <w:color w:val="auto"/>
      <w:kern w:val="0"/>
      <w:sz w:val="20"/>
      <w:szCs w:val="24"/>
      <w:lang w:val="pt-BR" w:eastAsia="pt-BR" w:bidi="ar-SA"/>
    </w:rPr>
  </w:style>
  <w:style w:type="paragraph" w:styleId="Heading1">
    <w:name w:val="Heading 1"/>
    <w:basedOn w:val="PADRO"/>
    <w:next w:val="Normal"/>
    <w:link w:val="Ttulo1Char"/>
    <w:qFormat/>
    <w:pPr>
      <w:keepNext w:val="false"/>
      <w:widowControl/>
      <w:numPr>
        <w:ilvl w:val="0"/>
        <w:numId w:val="1"/>
      </w:numPr>
      <w:shd w:val="clear" w:fill="auto"/>
      <w:spacing w:before="120" w:after="120"/>
      <w:outlineLvl w:val="0"/>
    </w:pPr>
    <w:rPr>
      <w:rFonts w:ascii="Arial" w:hAnsi="Arial" w:cs="Arial"/>
      <w:b/>
    </w:rPr>
  </w:style>
  <w:style w:type="character" w:styleId="DefaultParagraphFont">
    <w:name w:val="Default Paragraph Font"/>
    <w:qFormat/>
    <w:rPr/>
  </w:style>
  <w:style w:type="character" w:styleId="Ttulo1Char">
    <w:name w:val="Título 1 Char"/>
    <w:basedOn w:val="DefaultParagraphFont"/>
    <w:qFormat/>
    <w:rPr>
      <w:rFonts w:ascii="Arial" w:hAnsi="Arial" w:eastAsia="WenQuanYi Micro Hei" w:cs="Arial"/>
      <w:b/>
      <w:sz w:val="20"/>
      <w:szCs w:val="24"/>
      <w:lang w:eastAsia="zh-CN" w:bidi="hi-IN"/>
    </w:rPr>
  </w:style>
  <w:style w:type="character" w:styleId="CitaoChar">
    <w:name w:val="Citação Char"/>
    <w:basedOn w:val="DefaultParagraphFont"/>
    <w:link w:val="Quote"/>
    <w:qFormat/>
    <w:rPr>
      <w:rFonts w:ascii="Arial" w:hAnsi="Arial" w:eastAsia="Calibri" w:cs="Tahoma"/>
      <w:i/>
      <w:iCs/>
      <w:color w:val="000000"/>
      <w:sz w:val="20"/>
      <w:szCs w:val="24"/>
      <w:shd w:fill="FFFFCC" w:val="clear"/>
    </w:rPr>
  </w:style>
  <w:style w:type="character" w:styleId="Nivel01Char">
    <w:name w:val="Nivel 01 Char"/>
    <w:basedOn w:val="Ttulo1Char"/>
    <w:link w:val="Nivel01"/>
    <w:qFormat/>
    <w:rPr>
      <w:rFonts w:ascii="Arial" w:hAnsi="Arial" w:eastAsia="Calibri" w:cs="Times New Roman"/>
      <w:b w:val="false"/>
      <w:bCs/>
      <w:color w:val="000000"/>
      <w:sz w:val="20"/>
      <w:szCs w:val="20"/>
      <w:lang w:eastAsia="pt-BR" w:bidi="hi-IN"/>
    </w:rPr>
  </w:style>
  <w:style w:type="character" w:styleId="Citao2Char">
    <w:name w:val="citação 2 Char"/>
    <w:basedOn w:val="CitaoChar"/>
    <w:qFormat/>
    <w:rPr>
      <w:rFonts w:ascii="Arial" w:hAnsi="Arial" w:eastAsia="Calibri" w:cs="Tahoma"/>
      <w:i/>
      <w:iCs/>
      <w:color w:val="000000"/>
      <w:sz w:val="20"/>
      <w:szCs w:val="20"/>
      <w:shd w:fill="FFFFCC" w:val="clear"/>
    </w:rPr>
  </w:style>
  <w:style w:type="character" w:styleId="QuoteChar">
    <w:name w:val="Quote Char"/>
    <w:basedOn w:val="DefaultParagraphFont"/>
    <w:link w:val="Citao1"/>
    <w:qFormat/>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link w:val="Annotationtext"/>
    <w:qFormat/>
    <w:rPr>
      <w:rFonts w:ascii="Arial" w:hAnsi="Arial" w:eastAsia="Times New Roman" w:cs="Tahoma"/>
      <w:sz w:val="20"/>
      <w:szCs w:val="20"/>
      <w:lang w:eastAsia="pt-BR"/>
    </w:rPr>
  </w:style>
  <w:style w:type="character" w:styleId="AssuntodocomentrioChar">
    <w:name w:val="Assunto do comentário Char"/>
    <w:basedOn w:val="TextodecomentrioChar"/>
    <w:link w:val="Annotationsubject"/>
    <w:qFormat/>
    <w:rPr>
      <w:rFonts w:ascii="Arial" w:hAnsi="Arial" w:eastAsia="Times New Roman" w:cs="Tahoma"/>
      <w:b/>
      <w:bCs/>
      <w:sz w:val="20"/>
      <w:szCs w:val="20"/>
      <w:lang w:eastAsia="pt-BR"/>
    </w:rPr>
  </w:style>
  <w:style w:type="character" w:styleId="Hyperlink">
    <w:name w:val="Hyperlink"/>
    <w:basedOn w:val="DefaultParagraphFont"/>
    <w:rPr>
      <w:color w:themeColor="hyperlink" w:val="0563C1"/>
      <w:u w:val="single"/>
    </w:rPr>
  </w:style>
  <w:style w:type="character" w:styleId="Nivel4Char">
    <w:name w:val="Nivel 4 Char"/>
    <w:basedOn w:val="DefaultParagraphFont"/>
    <w:link w:val="Nivel4"/>
    <w:qFormat/>
    <w:rPr>
      <w:rFonts w:ascii="Ecofont_Spranq_eco_Sans" w:hAnsi="Ecofont_Spranq_eco_Sans" w:eastAsia="Arial Unicode MS" w:cs="Arial"/>
      <w:sz w:val="20"/>
      <w:szCs w:val="20"/>
      <w:lang w:eastAsia="pt-BR"/>
    </w:rPr>
  </w:style>
  <w:style w:type="character" w:styleId="TextodebaloChar">
    <w:name w:val="Texto de balão Char"/>
    <w:basedOn w:val="DefaultParagraphFont"/>
    <w:link w:val="BalloonText"/>
    <w:qFormat/>
    <w:rPr>
      <w:rFonts w:ascii="Segoe UI" w:hAnsi="Segoe UI" w:eastAsia="Times New Roman" w:cs="Segoe UI"/>
      <w:sz w:val="18"/>
      <w:szCs w:val="18"/>
      <w:lang w:eastAsia="pt-BR"/>
    </w:rPr>
  </w:style>
  <w:style w:type="character" w:styleId="CabealhoChar">
    <w:name w:val="Cabeçalho Char"/>
    <w:basedOn w:val="DefaultParagraphFont"/>
    <w:qFormat/>
    <w:rPr>
      <w:rFonts w:ascii="Arial" w:hAnsi="Arial" w:eastAsia="Times New Roman" w:cs="Tahoma"/>
      <w:sz w:val="20"/>
      <w:szCs w:val="24"/>
      <w:lang w:eastAsia="pt-BR"/>
    </w:rPr>
  </w:style>
  <w:style w:type="character" w:styleId="RodapChar">
    <w:name w:val="Rodapé Char"/>
    <w:basedOn w:val="DefaultParagraphFont"/>
    <w:qFormat/>
    <w:rPr>
      <w:rFonts w:ascii="Arial" w:hAnsi="Arial" w:eastAsia="Times New Roman" w:cs="Tahoma"/>
      <w:sz w:val="20"/>
      <w:szCs w:val="24"/>
      <w:lang w:eastAsia="pt-BR"/>
    </w:rPr>
  </w:style>
  <w:style w:type="character" w:styleId="FollowedHyperlink">
    <w:name w:val="FollowedHyperlink"/>
    <w:basedOn w:val="DefaultParagraphFont"/>
    <w:rPr>
      <w:color w:themeColor="followedHyperlink" w:val="954F72"/>
      <w:u w:val="single"/>
    </w:rPr>
  </w:style>
  <w:style w:type="character" w:styleId="Strong">
    <w:name w:val="Strong"/>
    <w:basedOn w:val="DefaultParagraphFont"/>
    <w:qFormat/>
    <w:rPr>
      <w:b/>
      <w:bCs/>
    </w:rPr>
  </w:style>
  <w:style w:type="character" w:styleId="TtuloChar">
    <w:name w:val="Título Char"/>
    <w:basedOn w:val="DefaultParagraphFont"/>
    <w:qFormat/>
    <w:rPr>
      <w:rFonts w:ascii="Liberation Sans" w:hAnsi="Liberation Sans" w:eastAsia="Noto Sans CJK SC" w:cs="FreeSans"/>
      <w:sz w:val="28"/>
      <w:szCs w:val="28"/>
      <w:lang w:eastAsia="pt-BR"/>
    </w:rPr>
  </w:style>
  <w:style w:type="character" w:styleId="CorpodetextoChar">
    <w:name w:val="Corpo de texto Char"/>
    <w:basedOn w:val="DefaultParagraphFont"/>
    <w:qFormat/>
    <w:rPr>
      <w:rFonts w:ascii="Arial" w:hAnsi="Arial" w:eastAsia="Times New Roman" w:cs="Tahoma"/>
      <w:sz w:val="20"/>
      <w:szCs w:val="24"/>
      <w:lang w:eastAsia="pt-BR"/>
    </w:rPr>
  </w:style>
  <w:style w:type="character" w:styleId="CitaoChar1">
    <w:name w:val="Citação Char1"/>
    <w:basedOn w:val="DefaultParagraphFont"/>
    <w:qFormat/>
    <w:rPr>
      <w:rFonts w:ascii="Arial" w:hAnsi="Arial" w:eastAsia="Times New Roman" w:cs="Tahoma"/>
      <w:i/>
      <w:iCs/>
      <w:color w:themeColor="dark1" w:themeTint="bf" w:val="404040"/>
      <w:sz w:val="20"/>
      <w:szCs w:val="24"/>
      <w:lang w:eastAsia="pt-BR"/>
    </w:rPr>
  </w:style>
  <w:style w:type="character" w:styleId="TextodecomentrioChar1">
    <w:name w:val="Texto de comentário Char1"/>
    <w:basedOn w:val="DefaultParagraphFont"/>
    <w:qFormat/>
    <w:rPr>
      <w:rFonts w:ascii="Arial" w:hAnsi="Arial" w:eastAsia="Times New Roman" w:cs="Tahoma"/>
      <w:sz w:val="20"/>
      <w:szCs w:val="20"/>
      <w:lang w:eastAsia="pt-BR"/>
    </w:rPr>
  </w:style>
  <w:style w:type="character" w:styleId="AssuntodocomentrioChar1">
    <w:name w:val="Assunto do comentário Char1"/>
    <w:basedOn w:val="TextodecomentrioChar1"/>
    <w:qFormat/>
    <w:rPr>
      <w:rFonts w:ascii="Arial" w:hAnsi="Arial" w:eastAsia="Times New Roman" w:cs="Tahoma"/>
      <w:b/>
      <w:bCs/>
      <w:sz w:val="20"/>
      <w:szCs w:val="20"/>
      <w:lang w:eastAsia="pt-BR"/>
    </w:rPr>
  </w:style>
  <w:style w:type="character" w:styleId="TextodebaloChar1">
    <w:name w:val="Texto de balão Char1"/>
    <w:basedOn w:val="DefaultParagraphFont"/>
    <w:qFormat/>
    <w:rPr>
      <w:rFonts w:ascii="Segoe UI" w:hAnsi="Segoe UI" w:eastAsia="Times New Roman" w:cs="Segoe UI"/>
      <w:sz w:val="18"/>
      <w:szCs w:val="18"/>
      <w:lang w:eastAsia="pt-BR"/>
    </w:rPr>
  </w:style>
  <w:style w:type="character" w:styleId="CabealhoChar1">
    <w:name w:val="Cabeçalho Char1"/>
    <w:basedOn w:val="DefaultParagraphFont"/>
    <w:qFormat/>
    <w:rPr>
      <w:rFonts w:ascii="Arial" w:hAnsi="Arial" w:eastAsia="Times New Roman" w:cs="Tahoma"/>
      <w:sz w:val="20"/>
      <w:szCs w:val="24"/>
      <w:lang w:eastAsia="pt-BR"/>
    </w:rPr>
  </w:style>
  <w:style w:type="character" w:styleId="RodapChar1">
    <w:name w:val="Rodapé Char1"/>
    <w:basedOn w:val="DefaultParagraphFont"/>
    <w:qFormat/>
    <w:rPr>
      <w:rFonts w:ascii="Arial" w:hAnsi="Arial" w:eastAsia="Times New Roman" w:cs="Tahoma"/>
      <w:sz w:val="20"/>
      <w:szCs w:val="24"/>
      <w:lang w:eastAsia="pt-BR"/>
    </w:rPr>
  </w:style>
  <w:style w:type="character" w:styleId="Cf01">
    <w:name w:val="cf01"/>
    <w:basedOn w:val="DefaultParagraphFont"/>
    <w:qFormat/>
    <w:rPr>
      <w:rFonts w:ascii="Segoe UI" w:hAnsi="Segoe UI" w:cs="Segoe UI"/>
      <w:color w:val="555555"/>
      <w:sz w:val="18"/>
      <w:szCs w:val="18"/>
      <w:shd w:fill="FFFFFF" w:val="clear"/>
    </w:rPr>
  </w:style>
  <w:style w:type="character" w:styleId="MenoPendente1">
    <w:name w:val="Menção Pendente1"/>
    <w:basedOn w:val="DefaultParagraphFont"/>
    <w:qFormat/>
    <w:rPr>
      <w:color w:val="605E5C"/>
      <w:shd w:fill="E1DFDD" w:val="clear"/>
    </w:rPr>
  </w:style>
  <w:style w:type="character" w:styleId="PlaceholderText">
    <w:name w:val="Placeholder Text"/>
    <w:basedOn w:val="DefaultParagraphFont"/>
    <w:qFormat/>
    <w:rPr>
      <w:color w:val="808080"/>
    </w:rPr>
  </w:style>
  <w:style w:type="character" w:styleId="Estilo1">
    <w:name w:val="Estilo1"/>
    <w:basedOn w:val="DefaultParagraphFont"/>
    <w:qFormat/>
    <w:rPr>
      <w:rFonts w:ascii="Arial" w:hAnsi="Arial"/>
      <w:b/>
      <w:color w:themeColor="accent6" w:themeShade="bf" w:val="538135"/>
      <w:sz w:val="24"/>
    </w:rPr>
  </w:style>
  <w:style w:type="character" w:styleId="UnresolvedMention">
    <w:name w:val="Unresolved Mention"/>
    <w:basedOn w:val="DefaultParagraphFont"/>
    <w:qFormat/>
    <w:rPr>
      <w:color w:val="605E5C"/>
      <w:shd w:fill="E1DFDD" w:val="clear"/>
    </w:rPr>
  </w:style>
  <w:style w:type="character" w:styleId="Nivel2Char">
    <w:name w:val="Nivel 2 Char"/>
    <w:basedOn w:val="DefaultParagraphFont"/>
    <w:link w:val="Nivel2"/>
    <w:qFormat/>
    <w:rPr>
      <w:rFonts w:ascii="Ecofont_Spranq_eco_Sans" w:hAnsi="Ecofont_Spranq_eco_Sans" w:eastAsia="Arial Unicode MS" w:cs="Times New Roman"/>
      <w:sz w:val="20"/>
      <w:szCs w:val="20"/>
      <w:lang w:eastAsia="pt-BR"/>
    </w:rPr>
  </w:style>
  <w:style w:type="character" w:styleId="Nvel3-RChar">
    <w:name w:val="Nível 3-R Char"/>
    <w:basedOn w:val="DefaultParagraphFont"/>
    <w:link w:val="Nvel3-R"/>
    <w:qFormat/>
    <w:rPr>
      <w:rFonts w:ascii="Arial" w:hAnsi="Arial" w:eastAsia="Calibri" w:cs="Arial"/>
      <w:i/>
      <w:iCs/>
      <w:color w:val="FF0000"/>
      <w:sz w:val="20"/>
      <w:szCs w:val="20"/>
      <w:lang w:eastAsia="pt-BR"/>
    </w:rPr>
  </w:style>
  <w:style w:type="character" w:styleId="Nvel4-RChar">
    <w:name w:val="Nível 4-R Char"/>
    <w:basedOn w:val="Nivel4Char"/>
    <w:link w:val="Nvel4-R"/>
    <w:qFormat/>
    <w:rPr>
      <w:rFonts w:ascii="Arial" w:hAnsi="Arial" w:eastAsia="Calibri" w:cs="Arial"/>
      <w:i/>
      <w:iCs/>
      <w:color w:val="FF0000"/>
      <w:sz w:val="20"/>
      <w:szCs w:val="20"/>
      <w:lang w:eastAsia="pt-BR"/>
    </w:rPr>
  </w:style>
  <w:style w:type="character" w:styleId="Vnculodendice">
    <w:name w:val="Vínculo de índice"/>
    <w:qFormat/>
    <w:rPr/>
  </w:style>
  <w:style w:type="character" w:styleId="CabealhoChar2">
    <w:name w:val="Cabeçalho Char2"/>
    <w:basedOn w:val="DefaultParagraphFont"/>
    <w:qFormat/>
    <w:rPr>
      <w:rFonts w:ascii="Arial" w:hAnsi="Arial" w:eastAsia="Times New Roman"/>
      <w:sz w:val="20"/>
      <w:szCs w:val="24"/>
      <w:lang w:eastAsia="pt-BR"/>
    </w:rPr>
  </w:style>
  <w:style w:type="character" w:styleId="RodapChar2">
    <w:name w:val="Rodapé Char2"/>
    <w:basedOn w:val="DefaultParagraphFont"/>
    <w:qFormat/>
    <w:rPr>
      <w:rFonts w:ascii="Arial" w:hAnsi="Arial" w:eastAsia="Times New Roman"/>
      <w:sz w:val="20"/>
      <w:szCs w:val="24"/>
      <w:lang w:eastAsia="pt-BR"/>
    </w:rPr>
  </w:style>
  <w:style w:type="character" w:styleId="Smbolosdenumerao">
    <w:name w:val="Símbolos de numeração"/>
    <w:qFormat/>
    <w:rPr/>
  </w:style>
  <w:style w:type="character" w:styleId="CabealhoChar3">
    <w:name w:val="Cabeçalho Char3"/>
    <w:basedOn w:val="DefaultParagraphFont"/>
    <w:qFormat/>
    <w:rPr>
      <w:rFonts w:ascii="Arial" w:hAnsi="Arial" w:eastAsia="Times New Roman"/>
      <w:sz w:val="20"/>
      <w:szCs w:val="24"/>
      <w:lang w:eastAsia="pt-BR"/>
    </w:rPr>
  </w:style>
  <w:style w:type="character" w:styleId="RodapChar3">
    <w:name w:val="Rodapé Char3"/>
    <w:basedOn w:val="DefaultParagraphFont"/>
    <w:qFormat/>
    <w:rPr>
      <w:rFonts w:ascii="Arial" w:hAnsi="Arial" w:eastAsia="Times New Roman"/>
      <w:sz w:val="20"/>
      <w:szCs w:val="24"/>
      <w:lang w:eastAsia="pt-BR"/>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Arial"/>
      <w:i/>
      <w:iCs/>
      <w:sz w:val="24"/>
    </w:rPr>
  </w:style>
  <w:style w:type="paragraph" w:styleId="Ndice">
    <w:name w:val="Índice"/>
    <w:basedOn w:val="Normal"/>
    <w:qFormat/>
    <w:pPr>
      <w:suppressLineNumbers/>
    </w:pPr>
    <w:rPr>
      <w:rFonts w:cs="FreeSans"/>
    </w:rPr>
  </w:style>
  <w:style w:type="paragraph" w:styleId="Title">
    <w:name w:val="Title"/>
    <w:basedOn w:val="Normal"/>
    <w:next w:val="BodyText"/>
    <w:link w:val="TtuloChar"/>
    <w:qFormat/>
    <w:pPr>
      <w:keepNext w:val="true"/>
      <w:spacing w:before="240" w:after="120"/>
    </w:pPr>
    <w:rPr>
      <w:rFonts w:ascii="Liberation Sans" w:hAnsi="Liberation Sans" w:eastAsia="Noto Sans CJK SC" w:cs="FreeSans"/>
      <w:sz w:val="28"/>
      <w:szCs w:val="28"/>
    </w:rPr>
  </w:style>
  <w:style w:type="paragraph" w:styleId="Caption1">
    <w:name w:val="caption1"/>
    <w:basedOn w:val="Normal"/>
    <w:qFormat/>
    <w:pPr>
      <w:suppressLineNumbers/>
      <w:spacing w:before="120" w:after="120"/>
    </w:pPr>
    <w:rPr>
      <w:rFonts w:cs="FreeSans"/>
      <w:i/>
      <w:iCs/>
      <w:sz w:val="24"/>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Nivel01">
    <w:name w:val="Nivel 01"/>
    <w:basedOn w:val="Heading1"/>
    <w:next w:val="Normal"/>
    <w:link w:val="Nivel01Char"/>
    <w:qFormat/>
    <w:pPr>
      <w:spacing w:before="480" w:after="120"/>
      <w:ind w:right="-15"/>
    </w:pPr>
    <w:rPr>
      <w:rFonts w:cs="Times New Roman"/>
      <w:b w:val="false"/>
      <w:bCs/>
      <w:color w:val="000000"/>
      <w:szCs w:val="20"/>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pPr>
      <w:spacing w:before="0" w:after="0"/>
      <w:ind w:left="720"/>
      <w:contextualSpacing/>
    </w:pPr>
    <w:rPr/>
  </w:style>
  <w:style w:type="paragraph" w:styleId="Citao2">
    <w:name w:val="citação 2"/>
    <w:basedOn w:val="Quote"/>
    <w:qFormat/>
    <w:pPr/>
    <w:rPr>
      <w:szCs w:val="20"/>
    </w:rPr>
  </w:style>
  <w:style w:type="paragraph"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qFormat/>
    <w:pPr/>
    <w:rPr>
      <w:szCs w:val="20"/>
    </w:rPr>
  </w:style>
  <w:style w:type="paragraph" w:styleId="Annotationsubject">
    <w:name w:val="annotation subject"/>
    <w:basedOn w:val="Annotationtext"/>
    <w:next w:val="Annotationtext"/>
    <w:link w:val="AssuntodocomentrioChar"/>
    <w:qFormat/>
    <w:pPr/>
    <w:rPr>
      <w:b/>
      <w:bCs/>
    </w:rPr>
  </w:style>
  <w:style w:type="paragraph" w:styleId="Nivel1">
    <w:name w:val="Nivel1"/>
    <w:basedOn w:val="Heading1"/>
    <w:qFormat/>
    <w:pPr>
      <w:spacing w:before="480" w:after="120"/>
      <w:ind w:left="644"/>
    </w:pPr>
    <w:rPr>
      <w:rFonts w:cs="Times New Roman"/>
      <w:b w:val="false"/>
      <w:color w:val="000000"/>
      <w:szCs w:val="20"/>
    </w:rPr>
  </w:style>
  <w:style w:type="paragraph" w:styleId="Nivel2">
    <w:name w:val="Nivel 2"/>
    <w:link w:val="Nivel2Char"/>
    <w:qFormat/>
    <w:pPr>
      <w:widowControl/>
      <w:numPr>
        <w:ilvl w:val="0"/>
        <w:numId w:val="2"/>
      </w:numPr>
      <w:suppressAutoHyphens w:val="true"/>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name w:val="Nivel 1"/>
    <w:basedOn w:val="Nivel2"/>
    <w:next w:val="Nivel2"/>
    <w:qFormat/>
    <w:pPr/>
    <w:rPr>
      <w:rFonts w:cs="Arial"/>
      <w:b/>
    </w:rPr>
  </w:style>
  <w:style w:type="paragraph" w:styleId="Nivel3">
    <w:name w:val="Nivel 3"/>
    <w:basedOn w:val="Nivel2"/>
    <w:qFormat/>
    <w:pPr/>
    <w:rPr>
      <w:rFonts w:cs="Arial"/>
      <w:color w:val="000000"/>
    </w:rPr>
  </w:style>
  <w:style w:type="paragraph" w:styleId="Nivel4">
    <w:name w:val="Nivel 4"/>
    <w:basedOn w:val="Nivel3"/>
    <w:link w:val="Nivel4Char"/>
    <w:qFormat/>
    <w:pPr/>
    <w:rPr>
      <w:color w:val="auto"/>
    </w:rPr>
  </w:style>
  <w:style w:type="paragraph" w:styleId="Nivel5">
    <w:name w:val="Nivel 5"/>
    <w:basedOn w:val="Nivel4"/>
    <w:qFormat/>
    <w:pPr>
      <w:tabs>
        <w:tab w:val="clear" w:pos="708"/>
        <w:tab w:val="left" w:pos="360" w:leader="none"/>
      </w:tabs>
    </w:pPr>
    <w:rPr/>
  </w:style>
  <w:style w:type="paragraph" w:styleId="BalloonText">
    <w:name w:val="Balloon Text"/>
    <w:basedOn w:val="Normal"/>
    <w:link w:val="TextodebaloChar"/>
    <w:qFormat/>
    <w:pPr/>
    <w:rPr>
      <w:rFonts w:ascii="Segoe UI" w:hAnsi="Segoe UI" w:cs="Segoe UI"/>
      <w:sz w:val="18"/>
      <w:szCs w:val="18"/>
    </w:rPr>
  </w:style>
  <w:style w:type="paragraph" w:styleId="CabealhoeRodap">
    <w:name w:val="Cabeçalho e Rodapé"/>
    <w:basedOn w:val="Normal"/>
    <w:qFormat/>
    <w:pPr/>
    <w:rPr/>
  </w:style>
  <w:style w:type="paragraph" w:styleId="Header">
    <w:name w:val="Header"/>
    <w:basedOn w:val="Normal"/>
    <w:link w:val="CabealhoChar3"/>
    <w:pPr>
      <w:tabs>
        <w:tab w:val="clear" w:pos="708"/>
        <w:tab w:val="center" w:pos="4252" w:leader="none"/>
        <w:tab w:val="right" w:pos="8504" w:leader="none"/>
      </w:tabs>
    </w:pPr>
    <w:rPr/>
  </w:style>
  <w:style w:type="paragraph" w:styleId="Footer">
    <w:name w:val="Footer"/>
    <w:basedOn w:val="Normal"/>
    <w:link w:val="RodapChar3"/>
    <w:pPr>
      <w:tabs>
        <w:tab w:val="clear" w:pos="708"/>
        <w:tab w:val="center" w:pos="4252" w:leader="none"/>
        <w:tab w:val="right" w:pos="8504" w:leader="none"/>
      </w:tabs>
    </w:pPr>
    <w:rPr/>
  </w:style>
  <w:style w:type="paragraph" w:styleId="Nivel01Titulo">
    <w:name w:val="Nivel_01_Titulo"/>
    <w:basedOn w:val="Heading1"/>
    <w:next w:val="Normal"/>
    <w:qFormat/>
    <w:pPr>
      <w:tabs>
        <w:tab w:val="clear" w:pos="708"/>
        <w:tab w:val="left" w:pos="360" w:leader="none"/>
        <w:tab w:val="left" w:pos="567" w:leader="none"/>
      </w:tabs>
    </w:pPr>
    <w:rPr>
      <w:rFonts w:cs="Times New Roman"/>
      <w:b w:val="false"/>
      <w:bCs/>
      <w:szCs w:val="20"/>
    </w:rPr>
  </w:style>
  <w:style w:type="paragraph" w:styleId="Revision">
    <w:name w:val="Revision"/>
    <w:qFormat/>
    <w:pPr>
      <w:widowControl/>
      <w:suppressAutoHyphens w:val="true"/>
      <w:overflowPunct w:val="false"/>
      <w:bidi w:val="0"/>
      <w:spacing w:before="0" w:after="0"/>
      <w:jc w:val="left"/>
    </w:pPr>
    <w:rPr>
      <w:rFonts w:ascii="Arial" w:hAnsi="Arial" w:eastAsia="Times New Roman" w:cs="Tahoma"/>
      <w:color w:val="auto"/>
      <w:kern w:val="0"/>
      <w:sz w:val="20"/>
      <w:szCs w:val="24"/>
      <w:lang w:val="pt-BR" w:eastAsia="pt-BR" w:bidi="ar-SA"/>
    </w:rPr>
  </w:style>
  <w:style w:type="paragraph" w:styleId="IndexHeading">
    <w:name w:val="Index Heading"/>
    <w:basedOn w:val="Title"/>
    <w:pPr/>
    <w:rPr/>
  </w:style>
  <w:style w:type="paragraph" w:styleId="TOCHeading">
    <w:name w:val="TOC Heading"/>
    <w:basedOn w:val="Heading1"/>
    <w:next w:val="Normal"/>
    <w:qFormat/>
    <w:pPr>
      <w:keepNext w:val="true"/>
      <w:keepLines/>
      <w:numPr>
        <w:ilvl w:val="0"/>
        <w:numId w:val="0"/>
      </w:numPr>
      <w:suppressAutoHyphens w:val="false"/>
      <w:spacing w:lineRule="auto" w:line="259" w:before="240" w:after="0"/>
      <w:ind w:firstLine="567"/>
      <w:jc w:val="left"/>
      <w:textAlignment w:val="auto"/>
      <w:outlineLvl w:val="9"/>
    </w:pPr>
    <w:rPr>
      <w:rFonts w:ascii="Calibri Light" w:hAnsi="Calibri Light" w:eastAsia="Calibri" w:cs="Tahoma"/>
      <w:b w:val="false"/>
      <w:color w:themeColor="accent1" w:themeShade="bf" w:val="2E74B5"/>
      <w:sz w:val="32"/>
      <w:szCs w:val="32"/>
      <w:lang w:eastAsia="pt-BR" w:bidi="ar-SA"/>
    </w:rPr>
  </w:style>
  <w:style w:type="paragraph" w:styleId="TOC1">
    <w:name w:val="TOC 1"/>
    <w:basedOn w:val="Normal"/>
    <w:next w:val="Normal"/>
    <w:autoRedefine/>
    <w:pPr>
      <w:tabs>
        <w:tab w:val="clear" w:pos="708"/>
        <w:tab w:val="left" w:pos="440" w:leader="none"/>
        <w:tab w:val="right" w:pos="8494" w:leader="dot"/>
      </w:tabs>
      <w:spacing w:before="0" w:after="100"/>
    </w:pPr>
    <w:rPr/>
  </w:style>
  <w:style w:type="paragraph" w:styleId="Nvel3-R">
    <w:name w:val="Nível 3-R"/>
    <w:basedOn w:val="Nivel3"/>
    <w:link w:val="Nvel3-RChar"/>
    <w:qFormat/>
    <w:pPr>
      <w:numPr>
        <w:ilvl w:val="2"/>
        <w:numId w:val="1"/>
      </w:numPr>
      <w:suppressAutoHyphens w:val="false"/>
      <w:ind w:hanging="0" w:left="284"/>
    </w:pPr>
    <w:rPr>
      <w:rFonts w:ascii="Arial" w:hAnsi="Arial" w:eastAsia="Calibri"/>
      <w:i/>
      <w:iCs/>
      <w:color w:val="FF0000"/>
    </w:rPr>
  </w:style>
  <w:style w:type="paragraph" w:styleId="Nvel4-R">
    <w:name w:val="Nível 4-R"/>
    <w:basedOn w:val="Nivel4"/>
    <w:link w:val="Nvel4-RChar"/>
    <w:qFormat/>
    <w:pPr>
      <w:numPr>
        <w:ilvl w:val="3"/>
        <w:numId w:val="1"/>
      </w:numPr>
      <w:suppressAutoHyphens w:val="false"/>
      <w:ind w:hanging="0" w:left="567"/>
    </w:pPr>
    <w:rPr>
      <w:rFonts w:ascii="Arial" w:hAnsi="Arial" w:eastAsia="Calibri"/>
      <w:i/>
      <w:iCs/>
      <w:color w:val="FF0000"/>
    </w:rPr>
  </w:style>
  <w:style w:type="paragraph" w:styleId="Contedodatabela">
    <w:name w:val="Conteúdo da tabela"/>
    <w:basedOn w:val="Normal"/>
    <w:qFormat/>
    <w:pPr>
      <w:suppressLineNumbers/>
    </w:pPr>
    <w:rPr/>
  </w:style>
  <w:style w:type="paragraph" w:styleId="Contedodatabela3">
    <w:name w:val="Conteúdo da tabela3"/>
    <w:basedOn w:val="Normal"/>
    <w:qFormat/>
    <w:pPr>
      <w:widowControl w:val="false"/>
      <w:suppressLineNumbers/>
    </w:pPr>
    <w:rPr/>
  </w:style>
  <w:style w:type="paragraph" w:styleId="Ttulodetabela">
    <w:name w:val="Título de tabela"/>
    <w:basedOn w:val="Contedodatabela"/>
    <w:qFormat/>
    <w:pPr>
      <w:jc w:val="center"/>
    </w:pPr>
    <w:rPr>
      <w:b/>
      <w:bCs/>
    </w:rPr>
  </w:style>
  <w:style w:type="paragraph" w:styleId="TableParagraph">
    <w:name w:val="Table Paragraph"/>
    <w:basedOn w:val="Normal"/>
    <w:qFormat/>
    <w:pPr/>
    <w:rPr>
      <w:rFonts w:ascii="Cambria" w:hAnsi="Cambria" w:eastAsia="Cambria" w:cs="Cambria"/>
      <w:lang w:val="pt-PT" w:eastAsia="pt-PT" w:bidi="pt-PT"/>
    </w:rPr>
  </w:style>
  <w:style w:type="paragraph" w:styleId="Standard">
    <w:name w:val="Standard"/>
    <w:qFormat/>
    <w:pPr>
      <w:widowControl/>
      <w:suppressAutoHyphens w:val="true"/>
      <w:overflowPunct w:val="false"/>
      <w:bidi w:val="0"/>
      <w:spacing w:before="0" w:after="0"/>
      <w:jc w:val="left"/>
      <w:textAlignment w:val="baseline"/>
    </w:pPr>
    <w:rPr>
      <w:rFonts w:ascii="Times New Roman" w:hAnsi="Times New Roman" w:eastAsia="Times New Roman" w:cs="Times New Roman"/>
      <w:color w:val="00000A"/>
      <w:kern w:val="2"/>
      <w:sz w:val="20"/>
      <w:szCs w:val="20"/>
      <w:lang w:val="pt-BR" w:eastAsia="zh-CN" w:bidi="ar-SA"/>
    </w:rPr>
  </w:style>
  <w:style w:type="paragraph" w:styleId="Normal1">
    <w:name w:val="normal1"/>
    <w:qFormat/>
    <w:pPr>
      <w:widowControl/>
      <w:suppressAutoHyphens w:val="true"/>
      <w:bidi w:val="0"/>
      <w:spacing w:lineRule="auto" w:line="276" w:before="0" w:after="200"/>
      <w:jc w:val="left"/>
    </w:pPr>
    <w:rPr>
      <w:rFonts w:ascii="Calibri" w:hAnsi="Calibri" w:eastAsia="Calibri" w:cs="Calibri"/>
      <w:color w:val="00000A"/>
      <w:kern w:val="0"/>
      <w:sz w:val="22"/>
      <w:szCs w:val="22"/>
      <w:lang w:val="pt-BR" w:eastAsia="pt-BR" w:bidi="ar-SA"/>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image" Target="media/image2.png"/><Relationship Id="rId6" Type="http://schemas.openxmlformats.org/officeDocument/2006/relationships/hyperlink" Target="http://www.gov.br/compras" TargetMode="External"/><Relationship Id="rId7" Type="http://schemas.openxmlformats.org/officeDocument/2006/relationships/hyperlink" Target="http://www.pncp.gov.br/" TargetMode="External"/><Relationship Id="rId8" Type="http://schemas.openxmlformats.org/officeDocument/2006/relationships/hyperlink" Target="https://www.gov.br/compras/pt-br/sistemas/conheca-o-compras/aplicativo-compras" TargetMode="External"/><Relationship Id="rId9" Type="http://schemas.openxmlformats.org/officeDocument/2006/relationships/hyperlink" Target="http://www.planalto.gov.br/ccivil_03/LEIS/L6404consol.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1-2014/2013/lei/l12846.htm" TargetMode="Externa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comprasnet.gov.br/seguro/loginPortalFornecedor.asp" TargetMode="Externa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1515</TotalTime>
  <Application>LibreOffice/7.6.4.1$Windows_X86_64 LibreOffice_project/e19e193f88cd6c0525a17fb7a176ed8e6a3e2aa1</Application>
  <AppVersion>15.0000</AppVersion>
  <Pages>15</Pages>
  <Words>5409</Words>
  <Characters>30449</Characters>
  <CharactersWithSpaces>35460</CharactersWithSpaces>
  <Paragraphs>258</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cp:lastPrinted>2024-07-04T09:25:37Z</cp:lastPrinted>
  <dcterms:modified xsi:type="dcterms:W3CDTF">2025-04-04T12:17:22Z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